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GebrMstrV</w:t>
      </w:r>
    </w:p>
    <w:p>
      <w:r>
        <w:rPr>
          <w:color w:val="555555"/>
          <w:sz w:val="18"/>
        </w:rPr>
        <w:t xml:space="preserve">Gebäudereinigermeisterverordnung</w:t>
      </w:r>
    </w:p>
    <w:p>
      <w:r>
        <w:rPr>
          <w:color w:val="555555"/>
          <w:sz w:val="18"/>
        </w:rPr>
        <w:t xml:space="preserve">Historische Fassung: Stand 10.06.2019 bis 01.01.2021. Dies ist nicht die aktuelle Fassung.</w:t>
      </w:r>
    </w:p>
    <w:p>
      <w:r>
        <w:t xml:space="preserve">Der Bundesminister für Wirtschaft</w:t>
      </w:r>
    </w:p>
    <w:p>
      <w:r>
        <w:rPr>
          <w:color w:val="555555"/>
          <w:sz w:val="17"/>
        </w:rPr>
        <w:t xml:space="preserve">Zitiervorschlag: Schlußformel GebrMstrV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https://recht.nulegal.eu/gesetze/gebrmstrv--1988/schlussformel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