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GebrMstrV — Übergangsvorschrift</w:t>
      </w:r>
    </w:p>
    <w:p>
      <w:r>
        <w:rPr>
          <w:color w:val="555555"/>
          <w:sz w:val="18"/>
        </w:rPr>
        <w:t xml:space="preserve">Gebäudereinigermeisterverordnung</w:t>
      </w:r>
    </w:p>
    <w:p>
      <w:r>
        <w:rPr>
          <w:color w:val="555555"/>
          <w:sz w:val="18"/>
        </w:rPr>
        <w:t xml:space="preserve">Historische Fassung: Stand 10.06.2019 bis 01.01.2021. Dies ist nicht die aktuelle Fassung.</w:t>
      </w:r>
    </w:p>
    <w:p>
      <w:r>
        <w:t xml:space="preserve">Die bei Inkrafttreten dieser Verordnung laufenden Prüfungsverfahren werden nach den bisherigen Vorschriften zu Ende geführt.</w:t>
      </w:r>
    </w:p>
    <w:p>
      <w:r>
        <w:rPr>
          <w:color w:val="555555"/>
          <w:sz w:val="17"/>
        </w:rPr>
        <w:t xml:space="preserve">Zitiervorschlag: § 6 GebrMstrV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https://recht.nulegal.eu/gesetze/gebrmstrv--1988/6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