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GebrMstrV — Prüfung der fachtheoretischen Kenntnisse (Teil II)</w:t>
      </w:r>
    </w:p>
    <w:p>
      <w:r>
        <w:rPr>
          <w:color w:val="555555"/>
          <w:sz w:val="18"/>
        </w:rPr>
        <w:t xml:space="preserve">Gebäudereinigermeisterverordnung</w:t>
      </w:r>
    </w:p>
    <w:p>
      <w:r>
        <w:rPr>
          <w:color w:val="555555"/>
          <w:sz w:val="18"/>
        </w:rPr>
        <w:t xml:space="preserve">Historische Fassung: Stand 10.06.2019 bis 01.01.2021. Dies ist nicht die aktuelle Fassung.</w:t>
      </w:r>
    </w:p>
    <w:p>
      <w:r>
        <w:t xml:space="preserve">(1) In Teil II sind Kenntnisse in den folgenden fünf Prüfungsfächern nachzuweisen:</w:t>
      </w:r>
    </w:p>
    <w:p>
      <w:pPr>
        <w:ind w:left="420"/>
      </w:pPr>
      <w:r>
        <w:t xml:space="preserve">1. Auftragsbearbeitung:</w:t>
      </w:r>
    </w:p>
    <w:p>
      <w:pPr>
        <w:ind w:left="780"/>
      </w:pPr>
      <w:r>
        <w:t xml:space="preserve">a) Auswerten von Bauzeichnungen,</w:t>
      </w:r>
    </w:p>
    <w:p>
      <w:pPr>
        <w:ind w:left="780"/>
      </w:pPr>
      <w:r>
        <w:t xml:space="preserve">b) Erstellen von Massenberechnungen,</w:t>
      </w:r>
    </w:p>
    <w:p>
      <w:pPr>
        <w:ind w:left="780"/>
      </w:pPr>
      <w:r>
        <w:t xml:space="preserve">c) Erstellen von Leistungsbeschreibungen, Organisationsplänen und Arbeitsskizzen,</w:t>
      </w:r>
    </w:p>
    <w:p>
      <w:pPr>
        <w:ind w:left="780"/>
      </w:pPr>
      <w:r>
        <w:t xml:space="preserve">d) Aufstellen von Bedarfslisten für Personal, Maschinen, Geräte und Materialien,</w:t>
      </w:r>
    </w:p>
    <w:p>
      <w:pPr>
        <w:ind w:left="780"/>
      </w:pPr>
      <w:r>
        <w:t xml:space="preserve">e) Abrechnen von Lohn und Gehalt;</w:t>
      </w:r>
    </w:p>
    <w:p>
      <w:pPr>
        <w:ind w:left="420"/>
      </w:pPr>
      <w:r>
        <w:t xml:space="preserve">2. Kalkulation:Kostenermittlung unter Einbeziehung aller für die Preisbildung wesentlichen Faktoren, einschließlich der Berechnungen für die Angebots- und Nachkalkulation;</w:t>
      </w:r>
    </w:p>
    <w:p>
      <w:pPr>
        <w:ind w:left="420"/>
      </w:pPr>
      <w:r>
        <w:t xml:space="preserve">3. Fachtechnologie:</w:t>
      </w:r>
    </w:p>
    <w:p>
      <w:pPr>
        <w:ind w:left="780"/>
      </w:pPr>
      <w:r>
        <w:t xml:space="preserve">a) Chemie, Biologie, Mikrobiologie und Bauphysik,</w:t>
      </w:r>
    </w:p>
    <w:p>
      <w:pPr>
        <w:ind w:left="780"/>
      </w:pPr>
      <w:r>
        <w:t xml:space="preserve">b) Art und Beschaffenheit sowie chemische und physikalische Verhaltensweisen der zu bearbeitenden Bau- und Werkstoffe und ihrer Untergründe,</w:t>
      </w:r>
    </w:p>
    <w:p>
      <w:pPr>
        <w:ind w:left="780"/>
      </w:pPr>
      <w:r>
        <w:t xml:space="preserve">c) Oberflächenveränderung und -verunreinigung,</w:t>
      </w:r>
    </w:p>
    <w:p>
      <w:pPr>
        <w:ind w:left="780"/>
      </w:pPr>
      <w:r>
        <w:t xml:space="preserve">d) Infektionen, Kontaminationen und Strahlungen,</w:t>
      </w:r>
    </w:p>
    <w:p>
      <w:pPr>
        <w:ind w:left="780"/>
      </w:pPr>
      <w:r>
        <w:t xml:space="preserve">e) Geräte, Maschinen und Anlagen;</w:t>
      </w:r>
    </w:p>
    <w:p>
      <w:pPr>
        <w:ind w:left="420"/>
      </w:pPr>
      <w:r>
        <w:t xml:space="preserve">4. Werkstoffkunde:Hauptbestandteile, Eigenschaften, Anwendung und Lagerung der Reinigungs-, Pflege-, Behandlungs-, Desinfektions- und Schädlingsbekämpfungsmittel;</w:t>
      </w:r>
    </w:p>
    <w:p>
      <w:pPr>
        <w:ind w:left="420"/>
      </w:pPr>
      <w:r>
        <w:t xml:space="preserve">5. Schutzbestimmungen:</w:t>
      </w:r>
    </w:p>
    <w:p>
      <w:pPr>
        <w:ind w:left="780"/>
      </w:pPr>
      <w:r>
        <w:t xml:space="preserve">a) berufsbezogene Vorschriften der Arbeitssicherheit und des Arbeitsschutzes,</w:t>
      </w:r>
    </w:p>
    <w:p>
      <w:pPr>
        <w:ind w:left="780"/>
      </w:pPr>
      <w:r>
        <w:t xml:space="preserve">b) berufsbezogene Vorschriften des Hygienerechts, des Infektionsschutzgesetzes vom 20. Juli 2000 (BGBl. I S. 1045), des Schulseuchengesetzes, der Richtlinien des Robert Koch-Instituts und der Deutschen Gesellschaft für Hygiene und Mikrobiologie sowie des Chemikalienrechts, insbesondere der Gefahrstoffverordnung, und der Schädlingsbekämpfung,</w:t>
      </w:r>
    </w:p>
    <w:p>
      <w:pPr>
        <w:ind w:left="780"/>
      </w:pPr>
      <w:r>
        <w:t xml:space="preserve">c) berufsbezogene Vorschriften des Umwelt-, insbesondere des Immissions- und Strahlenschutzes, der VDI- und VDE-Richtlinien, der berufsbezogenen DIN-Normen, der Verdingungsordnung für Bauleistungen, der Verdingungsordnung für Leistungen, des Standardleistungsbuchs, der Straßenverkehrsordnung und über Maßnahmen zur Abfallentsorgung.</w:t>
      </w:r>
    </w:p>
    <w:p>
      <w:r>
        <w:t xml:space="preserve">(2) Die Prüfung ist schriftlich und mündlich durchzuführen.</w:t>
      </w:r>
    </w:p>
    <w:p>
      <w:r>
        <w:t xml:space="preserve">(3) Die schriftliche Prüfung soll insgesamt nicht länger als 16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jeweils ausreichende Leistungen in jedem der Prüfungsfächer nach Absatz 1 Nr. 1 und 3.</w:t>
      </w:r>
    </w:p>
    <w:p>
      <w:r>
        <w:rPr>
          <w:color w:val="555555"/>
          <w:sz w:val="17"/>
        </w:rPr>
        <w:t xml:space="preserve">Zitiervorschlag: § 5 GebrMstrV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https://recht.nulegal.eu/gesetze/gebrmstrv--1988/5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