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GebrMstrV — Gliederung, Dauer und Bestehen der praktischen Prüfung (Teil I)</w:t>
      </w:r>
    </w:p>
    <w:p>
      <w:r>
        <w:rPr>
          <w:color w:val="555555"/>
          <w:sz w:val="18"/>
        </w:rPr>
        <w:t xml:space="preserve">Gebäudereinigermeisterverordnung</w:t>
      </w:r>
    </w:p>
    <w:p>
      <w:r>
        <w:rPr>
          <w:color w:val="555555"/>
          <w:sz w:val="18"/>
        </w:rPr>
        <w:t xml:space="preserve">Historische Fassung: Stand 10.06.2019 bis 01.01.2021. Dies ist nicht die aktuelle Fassung.</w:t>
      </w:r>
    </w:p>
    <w:p>
      <w:r>
        <w:t xml:space="preserve">(1) In Teil I sind eine Meisterprüfungsarbeit anzufertigen und eine Arbeitsprobe auszuführen. Bei der Bestimmung der Meisterprüfungsarbeit sollen die Vorschläge des Prüflings nach Möglichkeit berücksichtigt werden.</w:t>
      </w:r>
    </w:p>
    <w:p>
      <w:r>
        <w:t xml:space="preserve">(2) Die Anfertigung der Meisterprüfungsarbeit soll nicht länger als vier Arbeitstage,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GebrMstrV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https://recht.nulegal.eu/gesetze/gebrmstrv--1988/2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