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FVerlV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Historische Fassung: Stand 10.06.2019 bis 26.10.2022. Dies ist nicht die aktuelle Fassung.</w:t>
      </w:r>
    </w:p>
    <w:p>
      <w:r>
        <w:t xml:space="preserve">Auf Grund des § 1 Abs. 3 Satz 13 des Außensteuergesetzes vom 8. September 1972 (BGBl. I S. 1713), der durch Artikel 7 des Gesetzes vom 14. August 2007 (BGBl. I S. 1912)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FVerlV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https://recht.nulegal.eu/gesetze/fverlv--2008/eingangsformel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