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FVerlV — Anpassungsregelung des Steuerpflichtigen</w:t>
      </w:r>
    </w:p>
    <w:p>
      <w:r>
        <w:rPr>
          <w:color w:val="555555"/>
          <w:sz w:val="18"/>
        </w:rPr>
        <w:t xml:space="preserve">Funktionsverlagerungsverordnung</w:t>
      </w:r>
    </w:p>
    <w:p>
      <w:r>
        <w:rPr>
          <w:color w:val="555555"/>
          <w:sz w:val="18"/>
        </w:rPr>
        <w:t xml:space="preserve">Historische Fassung: Stand 10.06.2019 bis 26.10.2022. Dies ist nicht die aktuelle Fassung.</w:t>
      </w:r>
    </w:p>
    <w:p>
      <w:r>
        <w:t xml:space="preserve">Eine Anpassungsregelung des Steuerpflichtigen, die nachträgliche Anpassungen im Sinne des § 1 Abs. 3 Satz 11 und 12 des Außensteuergesetzes ausschließt, liegt auch dann vor, wenn im Hinblick auf wesentliche immaterielle Wirtschaftsgüter und Vorteile Lizenzvereinbarungen getroffen werden, die die zu zahlende Lizenz vom Umsatz oder Gewinn des Lizenznehmers abhängig machen oder für die Höhe der Lizenz Umsatz und Gewinn berücksichtigen.</w:t>
      </w:r>
    </w:p>
    <w:p>
      <w:r>
        <w:rPr>
          <w:color w:val="555555"/>
          <w:sz w:val="17"/>
        </w:rPr>
        <w:t xml:space="preserve">Zitiervorschlag: § 9 FVerlV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https://recht.nulegal.eu/gesetze/fverlv--2008/9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