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FVerlV — Kapitalisierungszeitraum</w:t>
      </w:r>
    </w:p>
    <w:p>
      <w:r>
        <w:rPr>
          <w:color w:val="555555"/>
          <w:sz w:val="18"/>
        </w:rPr>
        <w:t xml:space="preserve">Funktionsverlagerungsverordnung</w:t>
      </w:r>
    </w:p>
    <w:p>
      <w:r>
        <w:rPr>
          <w:color w:val="555555"/>
          <w:sz w:val="18"/>
        </w:rPr>
        <w:t xml:space="preserve">Historische Fassung: Stand 10.06.2019 bis 26.10.2022. Dies ist nicht die aktuelle Fassung.</w:t>
      </w:r>
    </w:p>
    <w:p>
      <w:r>
        <w:t xml:space="preserve">Werden keine Gründe für einen bestimmten, von den Umständen der Funktionsausübung abhängigen Kapitalisierungszeitraum glaubhaft gemacht oder sind solche Gründe nicht ersichtlich, ist ein unbegrenzter Kapitalisierungszeitraum zu Grunde zu legen.</w:t>
      </w:r>
    </w:p>
    <w:p>
      <w:r>
        <w:rPr>
          <w:color w:val="555555"/>
          <w:sz w:val="17"/>
        </w:rPr>
        <w:t xml:space="preserve">Zitiervorschlag: § 6 FVerlV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https://recht.nulegal.eu/gesetze/fverlv--2008/6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