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FVerlV — Bestandteile des Transferpakets</w:t>
      </w:r>
    </w:p>
    <w:p>
      <w:r>
        <w:rPr>
          <w:color w:val="555555"/>
          <w:sz w:val="18"/>
        </w:rPr>
        <w:t xml:space="preserve">Funktionsverlagerungsverordnung</w:t>
      </w:r>
    </w:p>
    <w:p>
      <w:r>
        <w:rPr>
          <w:color w:val="555555"/>
          <w:sz w:val="18"/>
        </w:rPr>
        <w:t xml:space="preserve">Historische Fassung: Stand 10.06.2019 bis 26.10.2022. Dies ist nicht die aktuelle Fassung.</w:t>
      </w:r>
    </w:p>
    <w:p>
      <w:r>
        <w:t xml:space="preserve">(1) Werden für einzelne Teile des Transferpakets unterschiedliche Vereinbarungen getroffen oder sind solche Vereinbarungen dem Fremdvergleichsgrundsatz entsprechend anzunehmen, sind für alle Teile des Transferpakets Verrechnungspreise anzusetzen, die insgesamt dem nach § 3 Abs. 1 bestimmten Wert des Transferpakets als Ganzes entsprechen.</w:t>
      </w:r>
    </w:p>
    <w:p>
      <w:r>
        <w:t xml:space="preserve">(2) Bestehen Zweifel, ob hinsichtlich des Transferpakets oder einzelner Teile eine Übertragung oder eine Nutzungsüberlassung anzunehmen ist, wird auf Antrag des Steuerpflichtigen von einer Nutzungsüberlassung ausgegangen.</w:t>
      </w:r>
    </w:p>
    <w:p>
      <w:r>
        <w:t xml:space="preserve">(3) In den Fällen des § 1 Abs. 6, in denen sich nachträglich herausstellt, dass eine Funktionsverlagerung vorliegt, sind die Verrechnungspreise für die Geschäftsvorfälle, die dazu geführt haben, dass eine Funktionsverlagerung vorliegt, dem Fremdvergleichsgrundsatz entsprechend so anzusetzen, dass sie zusammen mit den ursprünglich bestimmten Verrechnungspreisen dem nach § 3 Abs. 1 bestimmten Wert des Transferpakets als Ganzes entsprechen.</w:t>
      </w:r>
    </w:p>
    <w:p>
      <w:r>
        <w:rPr>
          <w:color w:val="555555"/>
          <w:sz w:val="17"/>
        </w:rPr>
        <w:t xml:space="preserve">Zitiervorschlag: § 4 FVerlV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