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FVerlV — Wert des Transferpakets</w:t>
      </w:r>
    </w:p>
    <w:p>
      <w:r>
        <w:rPr>
          <w:color w:val="555555"/>
          <w:sz w:val="18"/>
        </w:rPr>
        <w:t xml:space="preserve">Funktionsverlagerungsverordnung</w:t>
      </w:r>
    </w:p>
    <w:p>
      <w:r>
        <w:rPr>
          <w:color w:val="555555"/>
          <w:sz w:val="18"/>
        </w:rPr>
        <w:t xml:space="preserve">Historische Fassung: Stand 10.06.2019 bis 26.10.2022. Dies ist nicht die aktuelle Fassung.</w:t>
      </w:r>
    </w:p>
    <w:p>
      <w:r>
        <w:t xml:space="preserve">(1) Ist in den Fällen des § 2 Abs. 1 Satz 2 der Wert für ein dem verlagernden Unternehmen zuzurechnendes Transferpaket als Ganzes zu bestimmen, muss dieser Wert, dem Fremdvergleichsgrundsatz im Sinne des § 1 Abs. 1 des Außensteuergesetzes entsprechend, aus der Sicht der beteiligten Unternehmen in Übereinstimmung mit den Gewinnen stehen, die zum Zeitpunkt der Verlagerung aus der Ausübung der Funktion erwartet werden können und der Funktion zuzuordnen sind (Gewinnpotenziale).</w:t>
      </w:r>
    </w:p>
    <w:p>
      <w:r>
        <w:t xml:space="preserve">(2) 1Die jeweiligen Gewinnpotenziale sind unter Berücksichtigung aller Umstände des Einzelfalles auf der Grundlage einer Funktionsanalyse vor und nach der Funktionsverlagerung unter Berücksichtigung tatsächlich bestehender Handlungsmöglichkeiten zu ermitteln und beinhalten auch Standortvorteile oder -nachteile und Synergieeffekte.2Ausgangspunkt für die Berechnungen sind die Unterlagen, die Grundlage für die Unternehmensentscheidung waren, eine Funktionsverlagerung durchzuführen.3Für die Berechnung der jeweiligen Gewinnpotenziale und des Einigungsbereichs (§ 7) sind die dem Maßstab des § 1 Absatz 1 Satz 3 des Außensteuergesetzes entsprechenden Gewinnerwartungen der beteiligten Unternehmen, angemessene Kapitalisierungszinssätze (§ 5) und ein von den Umständen der Funktionsausübung abhängiger Kapitalisierungszeitraum (§ 6) zu Grunde zu legen.</w:t>
      </w:r>
    </w:p>
    <w:p>
      <w:r>
        <w:rPr>
          <w:color w:val="555555"/>
          <w:sz w:val="17"/>
        </w:rPr>
        <w:t xml:space="preserve">Zitiervorschlag: § 3 FVerlV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https://recht.nulegal.eu/gesetze/fverlv--2008/3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