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FVerlV — Anwendung der Regelungen zum Transferpaket</w:t>
      </w:r>
    </w:p>
    <w:p>
      <w:r>
        <w:rPr>
          <w:color w:val="555555"/>
          <w:sz w:val="18"/>
        </w:rPr>
        <w:t xml:space="preserve">Funktionsverlagerungsverordnung</w:t>
      </w:r>
    </w:p>
    <w:p>
      <w:r>
        <w:rPr>
          <w:color w:val="555555"/>
          <w:sz w:val="18"/>
        </w:rPr>
        <w:t xml:space="preserve">Historische Fassung: Stand 10.06.2019 bis 26.10.2022. Dies ist nicht die aktuelle Fassung.</w:t>
      </w:r>
    </w:p>
    <w:p>
      <w:r>
        <w:t xml:space="preserve">(1) 1In Fällen von Funktionsverlagerungen, in denen die Preisbestimmung für das Transferpaket als Ganzes auf Grund uneingeschränkt oder eingeschränkt vergleichbarer Vergleichswerte erfolgen kann, ist vorrangig § 1 Abs. 3 Satz 1 bis 4 des Außensteuergesetzes anzuwenden.2Anderenfalls ist die Preisbestimmung für das Transferpaket entsprechend dem hypothetischen Fremdvergleich nach § 1 Abs. 3 Satz 5 und 6 des Außensteuergesetzes vorzunehmen.3§ 1 Abs. 3 Satz 10 erste Alternative des Außensteuergesetzes bleibt unberührt.</w:t>
      </w:r>
    </w:p>
    <w:p>
      <w:r>
        <w:t xml:space="preserve">(2) 1Übt das übernehmende Unternehmen die übergehende Funktion ausschließlich gegenüber dem verlagernden Unternehmen aus und ist das Entgelt, das für die Ausübung der Funktion und die Erbringung der entsprechenden Leistungen anzusetzen ist, nach der Kostenaufschlagsmethode zu ermitteln, ist davon auszugehen, dass mit dem übergehenden Transferpaket keine wesentlichen immateriellen Wirtschaftsgüter und Vorteile übertragen werden, so dass § 1 Abs. 3 Satz 10 erste Alternative des Außensteuergesetzes anwendbar ist.2Erbringt ein übernehmendes Unternehmen im Sinne des Satzes 1 die bisher ausschließlich gegenüber dem verlagernden Unternehmen erbrachten Leistungen eigenständig, ganz oder teilweise, gegenüber anderen Unternehmen zu Preisen, die höher sind als das Entgelt nach der Kostenaufschlagsmethode oder die entsprechend dem Fremdvergleichsgrundsatz höher anzusetzen sind, ist zum Zeitpunkt der erstmaligen Erbringung gegenüber den anderen Unternehmen für bisher unentgeltlich vom verlagernden Unternehmen für die Leistungserbringung zur Verfügung gestellte Wirtschaftsgüter und Vorteile ein Entgelt entsprechend § 3 zu verrechnen; die betreffenden Wirtschaftsgüter und Vorteile gelten als ein Transferpaket, soweit hierfür die sonstigen Voraussetzungen gegeben sind.</w:t>
      </w:r>
    </w:p>
    <w:p>
      <w:r>
        <w:t xml:space="preserve">(3) 1In Fällen, in denen nach § 1 Abs. 3 Satz 10 zweite Alternative des Außensteuergesetzes eine Verrechnungspreisermittlung für eine Funktionsverlagerung auf der Grundlage der Summe der Verrechnungspreise für die einzelnen betroffenen Wirtschaftsgüter und Vorteile anzuerkennen ist, sind sowohl der Einigungsbereich als auch der Wert für das Transferpaket als Ganzes nach § 1 Abs. 3 Satz 7 und 9 des Außensteuergesetzes zu ermitteln.2Die Summe der Einzelverrechnungspreise für die Wirtschaftsgüter und Vorteile, die vollständig zu erfassen sind, darf nur angesetzt werden, wenn sie im Einigungsbereich liegt und der Steuerpflichtige glaubhaft macht, dass sie dem Fremdvergleichsgrundsatz entspricht.</w:t>
      </w:r>
    </w:p>
    <w:p>
      <w:r>
        <w:rPr>
          <w:color w:val="555555"/>
          <w:sz w:val="17"/>
        </w:rPr>
        <w:t xml:space="preserve">Zitiervorschlag: § 2 FVerlV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