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FVerlV — Inkrafttreten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Historische Fassung: Stand 10.06.2019 bis 26.10.2022. Dies ist nicht die aktuelle Fassung.</w:t>
      </w:r>
    </w:p>
    <w:p>
      <w:r>
        <w:t xml:space="preserve">Diese Verordnung tritt mit Wirkung vom 1. Januar 2008 in Kraft.</w:t>
      </w:r>
    </w:p>
    <w:p>
      <w:r>
        <w:rPr>
          <w:color w:val="555555"/>
          <w:sz w:val="17"/>
        </w:rPr>
        <w:t xml:space="preserve">Zitiervorschlag: § 13 FVerlV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https://recht.nulegal.eu/gesetze/fverlv--2008/13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