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FVerlV — Anwendungsvorschrift</w:t>
      </w:r>
    </w:p>
    <w:p>
      <w:r>
        <w:rPr>
          <w:color w:val="555555"/>
          <w:sz w:val="18"/>
        </w:rPr>
        <w:t xml:space="preserve">Funktionsverlagerungsverordnung</w:t>
      </w:r>
    </w:p>
    <w:p>
      <w:r>
        <w:rPr>
          <w:color w:val="555555"/>
          <w:sz w:val="18"/>
        </w:rPr>
        <w:t xml:space="preserve">Historische Fassung: Stand 10.06.2019 bis 26.10.2022. Dies ist nicht die aktuelle Fassung.</w:t>
      </w:r>
    </w:p>
    <w:p>
      <w:r>
        <w:t xml:space="preserve">Diese Verordnung ist erstmals für den Veranlagungszeitraum 2008 anzuwenden.</w:t>
      </w:r>
    </w:p>
    <w:p>
      <w:r>
        <w:rPr>
          <w:color w:val="555555"/>
          <w:sz w:val="17"/>
        </w:rPr>
        <w:t xml:space="preserve">Zitiervorschlag: § 12 FVerlV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https://recht.nulegal.eu/gesetze/fverlv--2008/12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