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FVerlV — Angemessene Anpassung</w:t>
      </w:r>
    </w:p>
    <w:p>
      <w:r>
        <w:rPr>
          <w:color w:val="555555"/>
          <w:sz w:val="18"/>
        </w:rPr>
        <w:t xml:space="preserve">Funktionsverlagerungsverordnung</w:t>
      </w:r>
    </w:p>
    <w:p>
      <w:r>
        <w:rPr>
          <w:color w:val="555555"/>
          <w:sz w:val="18"/>
        </w:rPr>
        <w:t xml:space="preserve">Historische Fassung: Stand 10.06.2019 bis 26.10.2022. Dies ist nicht die aktuelle Fassung.</w:t>
      </w:r>
    </w:p>
    <w:p>
      <w:r>
        <w:t xml:space="preserve">Eine Anpassung im Sinne des § 1 Abs. 3 Satz 12 des Außensteuergesetzes ist angemessen, wenn sie in den Fällen des § 10 Satz 1 dem Unterschiedsbetrag zwischen dem ursprünglichen und dem neu ermittelten Verrechnungspreis entspricht, oder wenn sie in den Fällen des § 10 Satz 3 dem Unterschiedsbetrag zwischen dem ursprünglichen Verrechnungspreis und dem Mittelwert zwischen dem neuen Höchstpreis des übernehmenden Unternehmens und dem ursprünglichen Mindestpreis des verlagernden Unternehmens entspricht.</w:t>
      </w:r>
    </w:p>
    <w:p>
      <w:r>
        <w:rPr>
          <w:color w:val="555555"/>
          <w:sz w:val="17"/>
        </w:rPr>
        <w:t xml:space="preserve">Zitiervorschlag: § 11 FVerlV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https://recht.nulegal.eu/gesetze/fverlv--2008/11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FVerlV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