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FVerlV — Erhebliche Abweichung</w:t>
      </w:r>
    </w:p>
    <w:p>
      <w:r>
        <w:rPr>
          <w:color w:val="555555"/>
          <w:sz w:val="18"/>
        </w:rPr>
        <w:t xml:space="preserve">Funktionsverlagerungsverordnung</w:t>
      </w:r>
    </w:p>
    <w:p>
      <w:r>
        <w:rPr>
          <w:color w:val="555555"/>
          <w:sz w:val="18"/>
        </w:rPr>
        <w:t xml:space="preserve">Historische Fassung: Stand 10.06.2019 bis 26.10.2022. Dies ist nicht die aktuelle Fassung.</w:t>
      </w:r>
    </w:p>
    <w:p>
      <w:r>
        <w:t xml:space="preserve">1In den Fällen des § 1 Abs. 3 Satz 12 des Außensteuergesetzes liegt eine erhebliche Abweichung vor, wenn der unter Zugrundelegung der tatsächlichen Gewinnentwicklung zutreffende Verrechnungspreis außerhalb des ursprünglichen Einigungsbereichs liegt.2Der neue Einigungsbereich wird durch den ursprünglichen Mindestpreis und den neu ermittelten Höchstpreis des übernehmenden Unternehmens begrenzt.3Eine erhebliche Abweichung liegt auch vor, wenn der neu ermittelte Höchstpreis niedriger ist als der ursprüngliche Mindestpreis des verlagernden Unternehmens.</w:t>
      </w:r>
    </w:p>
    <w:p>
      <w:r>
        <w:rPr>
          <w:color w:val="555555"/>
          <w:sz w:val="17"/>
        </w:rPr>
        <w:t xml:space="preserve">Zitiervorschlag: § 10 FVerlV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https://recht.nulegal.eu/gesetze/fverlv--2008/10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