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FVerlV — Begriffsbestimmungen</w:t>
      </w:r>
    </w:p>
    <w:p>
      <w:r>
        <w:rPr>
          <w:color w:val="555555"/>
          <w:sz w:val="18"/>
        </w:rPr>
        <w:t xml:space="preserve">Funktionsverlagerungsverordnung</w:t>
      </w:r>
    </w:p>
    <w:p>
      <w:r>
        <w:rPr>
          <w:color w:val="555555"/>
          <w:sz w:val="18"/>
        </w:rPr>
        <w:t xml:space="preserve">Historische Fassung: Stand 10.06.2019 bis 26.10.2022. Dies ist nicht die aktuelle Fassung.</w:t>
      </w:r>
    </w:p>
    <w:p>
      <w:r>
        <w:t xml:space="preserve">(1) 1Eine Funktion ist eine Geschäftstätigkeit, die aus einer Zusammenfassung gleichartiger betrieblicher Aufgaben besteht, die von bestimmten Stellen oder Abteilungen eines Unternehmens erledigt werden.2Sie ist ein organischer Teil eines Unternehmens, ohne dass ein Teilbetrieb im steuerlichen Sinn vorliegen muss.</w:t>
      </w:r>
    </w:p>
    <w:p>
      <w:r>
        <w:t xml:space="preserve">(2) 1Eine Funktionsverlagerung im Sinne des § 1 Abs. 3 Satz 9 des Außensteuergesetzes liegt vorbehaltlich der Absätze 6 und 7 vor, wenn ein Unternehmen (verlagerndes Unternehmen) einem anderen, nahe stehenden Unternehmen (übernehmendes Unternehmen) Wirtschaftsgüter und sonstige Vorteile sowie die damit verbundenen Chancen und Risiken überträgt oder zur Nutzung überlässt, damit das übernehmende Unternehmen eine Funktion ausüben kann, die bisher von dem verlagernden Unternehmen ausgeübt worden ist, und dadurch die Ausübung der betreffenden Funktion durch das verlagernde Unternehmen eingeschränkt wird.2Eine Funktionsverlagerung kann auch vorliegen, wenn das übernehmende Unternehmen die Funktion nur zeitweise übernimmt.3Geschäftsvorfälle, die innerhalb von fünf Wirtschaftsjahren verwirklicht werden, sind zu dem Zeitpunkt, zu dem die Voraussetzungen des Satzes 1 durch ihre gemeinsame Verwirklichung wirtschaftlich erfüllt sind, als einheitliche Funktionsverlagerung zusammenzufassen.</w:t>
      </w:r>
    </w:p>
    <w:p>
      <w:r>
        <w:t xml:space="preserve">(3) Ein Transferpaket im Sinne des § 1 Abs. 3 Satz 9 des Außensteuergesetzes besteht aus einer Funktion und den mit dieser Funktion zusammenhängenden Chancen und Risiken sowie den Wirtschaftsgütern und Vorteilen, die das verlagernde Unternehmen dem übernehmenden Unternehmen zusammen mit der Funktion überträgt oder zur Nutzung überlässt, und den in diesem Zusammenhang erbrachten Dienstleistungen.</w:t>
      </w:r>
    </w:p>
    <w:p>
      <w:r>
        <w:t xml:space="preserve">(4) Gewinnpotenziale im Sinne des § 1 Abs. 3 Satz 6 des Außensteuergesetzes sind die aus der verlagerten Funktion jeweils zu erwartenden Reingewinne nach Steuern (Barwert), auf die ein ordentlicher und gewissenhafter Geschäftsleiter im Sinne des § 1 Absatz 1 Satz 3 des Außensteuergesetzes aus der Sicht des verlagernden Unternehmens nicht unentgeltlich verzichten würde und für die ein solcher Geschäftsleiter aus der Sicht des übernehmenden Unternehmens bereit wäre, ein Entgelt zu zahlen.</w:t>
      </w:r>
    </w:p>
    <w:p>
      <w:r>
        <w:t xml:space="preserve">(5) Immaterielle Wirtschaftsgüter und Vorteile sind in Fällen von Funktionsverlagerungen wesentlich im Sinne des § 1 Abs. 3 Satz 10 erste Alternative des Außensteuergesetzes, wenn sie für die verlagerte Funktion erforderlich sind und ihr Fremdvergleichspreis insgesamt mehr als 25 Prozent der Summe der Einzelpreise aller Wirtschaftsgüter und Vorteile des Transferpakets beträgt und dies unter Berücksichtigung der Auswirkungen der Funktionsverlagerung, die aus den Aufzeichnungen im Sinne des § 3 Abs. 2 Satz 2 hervorgehen, glaubhaft ist.</w:t>
      </w:r>
    </w:p>
    <w:p>
      <w:r>
        <w:t xml:space="preserve">(6) 1Eine Funktionsverlagerung im Sinne des Absatzes 2 liegt nicht vor, wenn es trotz Vorliegens der übrigen Voraussetzungen des Absatzes 2 Satz 1 innerhalb von fünf Jahren nach Aufnahme der Funktion durch das nahe stehende Unternehmen zu keiner Einschränkung der Ausübung der betreffenden Funktion durch das in Absatz 2 Satz 1 zuerst genannte Unternehmen kommt (Funktionsverdoppelung).2Kommt es innerhalb dieser Frist zu einer solchen Einschränkung, liegt zum Zeitpunkt, in dem die Einschränkung eintritt, insgesamt eine einheitliche Funktionsverlagerung vor, es sei denn, der Steuerpflichtige macht glaubhaft, dass diese Einschränkung nicht in unmittelbarem wirtschaftlichen Zusammenhang mit der Funktionsverdoppelung steht.</w:t>
      </w:r>
    </w:p>
    <w:p>
      <w:r>
        <w:t xml:space="preserve">(7) 1Eine Funktionsverlagerung im Sinne des Absatzes 2 liegt ebenfalls nicht vor, wenn ausschließlich Wirtschaftsgüter veräußert oder zur Nutzung überlassen werden oder wenn nur Dienstleistungen erbracht werden, es sei denn, diese Geschäftsvorfälle sind Teil einer Funktionsverlagerung.2Entsprechendes gilt, wenn Personal im Konzern entsandt wird, ohne dass eine Funktion mit übergeht, oder wenn der Vorgang zwischen voneinander unabhängigen Dritten nicht als Veräußerung oder Erwerb einer Funktion angesehen würde.</w:t>
      </w:r>
    </w:p>
    <w:p>
      <w:r>
        <w:rPr>
          <w:color w:val="555555"/>
          <w:sz w:val="17"/>
        </w:rPr>
        <w:t xml:space="preserve">Zitiervorschlag: § 1 FVerlV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https://recht.nulegal.eu/gesetze/fverlv--2008/1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