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FrHfDEG/DUG — Berlin-Klausel</w:t>
      </w:r>
    </w:p>
    <w:p>
      <w:r>
        <w:rPr>
          <w:color w:val="555555"/>
          <w:sz w:val="18"/>
        </w:rPr>
        <w:t xml:space="preserve">Gesetz zur Errichtung neuer Freihäfen und zur Änderung des Zollgesetzes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gilt nach Maßgabe des § 12 Abs. 1 des Dritten Überleitungsgesetzes auch im Land Berlin. Rechtsverordnungen, die auf Grund dieses Gesetzes erlassen werden, gelten im Land Berlin nach § 14 des Dritten Überleitungsgesetzes.</w:t>
      </w:r>
    </w:p>
    <w:p>
      <w:r>
        <w:rPr>
          <w:color w:val="555555"/>
          <w:sz w:val="17"/>
        </w:rPr>
        <w:t xml:space="preserve">Zitiervorschlag: § 3 FrHfDEG/DUG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https://recht.nulegal.eu/gesetze/frhfdeg_dug/3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