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FreizügG/EU 2004 — Ausweispflicht</w:t>
      </w:r>
    </w:p>
    <w:p>
      <w:r>
        <w:rPr>
          <w:color w:val="555555"/>
          <w:sz w:val="18"/>
        </w:rPr>
        <w:t xml:space="preserve">Freizügigkeitsgesetz/EU</w:t>
      </w:r>
    </w:p>
    <w:p>
      <w:r>
        <w:rPr>
          <w:color w:val="555555"/>
          <w:sz w:val="18"/>
        </w:rPr>
        <w:t xml:space="preserve">Stand: 24.11.2020 (konsolidierte Textfassung, kein amtliches Inkrafttretensdatum)</w:t>
      </w:r>
    </w:p>
    <w:p>
      <w:r>
        <w:t xml:space="preserve">(1) Die Personen, deren Einreise und Aufenthalt nach § 1 Absatz 1 durch dieses Gesetz geregelt ist, sind verpflichtet,</w:t>
      </w:r>
    </w:p>
    <w:p>
      <w:pPr>
        <w:ind w:left="420"/>
      </w:pPr>
      <w:r>
        <w:t xml:space="preserve">1. bei der Einreise in das oder der Ausreise aus dem Bundesgebiet einen Pass oder anerkannten Passersatz</w:t>
      </w:r>
    </w:p>
    <w:p>
      <w:pPr>
        <w:ind w:left="780"/>
      </w:pPr>
      <w:r>
        <w:t xml:space="preserve">a) mit sich zu führen und</w:t>
      </w:r>
    </w:p>
    <w:p>
      <w:pPr>
        <w:ind w:left="780"/>
      </w:pPr>
      <w:r>
        <w:t xml:space="preserve">b) einem zuständigen Beamten auf Verlangen zur Prüfung vorzulegen,</w:t>
      </w:r>
    </w:p>
    <w:p>
      <w:pPr>
        <w:ind w:left="420"/>
      </w:pPr>
      <w:r>
        <w:t xml:space="preserve">2. für die Dauer des Aufenthalts im Bundesgebiet den erforderlichen Pass oder Passersatz zu besitzen,</w:t>
      </w:r>
    </w:p>
    <w:p>
      <w:pPr>
        <w:ind w:left="420"/>
      </w:pPr>
      <w:r>
        <w:t xml:space="preserve">3. den Pass oder Passersatz sowie die Aufenthaltskarte, die Bescheinigung des Daueraufenthalts und die Daueraufenthaltskarte den mit der Ausführung dieses Gesetzes betrauten Behörden auf Verlangen vorzulegen, auszuhändigen und vorübergehend zu überlassen, soweit dies zur Durchführung oder Sicherung von Maßnahmen nach diesem Gesetz erforderlich ist.</w:t>
      </w:r>
    </w:p>
    <w:p>
      <w:r>
        <w:t xml:space="preserve">(1a) Die Personen, deren Einreise und Aufenthalt nach § 1 Absatz 1 durch dieses Gesetz geregelt ist, sind verpflichtet, die in Absatz 1 Nummer 3 genannten Dokumente auf Verlangen einer zur Überprüfung der Identität befugten Behörde vorzulegen und es ihr zu ermöglichen, das Gesicht mit dem Lichtbild im Dokument abzugleichen.</w:t>
      </w:r>
    </w:p>
    <w:p>
      <w:r>
        <w:t xml:space="preserve">(2) Die mit dem Vollzug dieses Gesetzes betrauten Behörden dürfen unter den Voraussetzungen des Absatzes 1 Nr. 3 die auf dem elektronischen Speicher- und Verarbeitungsmedium eines Dokumentes nach Absatz 1 gespeicherten biometrischen und sonstigen Daten auslesen, die benötigten biometrischen Daten beim Inhaber des Dokumentes erheben und die biometrischen Daten miteinander vergleichen. Biometrische Daten nach Satz 1 sind nur die Fingerabdrücke, das Lichtbild und die Irisbilder. Die Polizeivollzugsbehörden, die Zollverwaltung und die Meldebehörden sind befugt, Maßnahmen nach Satz 1 zu treffen, soweit sie die Echtheit des Dokumentes oder die Identität des Inhabers überprüfen dürfen. Die nach den Sätzen 1 und 3 erhobenen Daten sind unverzüglich nach Beendigung der Prüfung der Echtheit des Dokumentes oder der Identität des Inhabers zu löschen.</w:t>
      </w:r>
    </w:p>
    <w:p>
      <w:r>
        <w:rPr>
          <w:color w:val="555555"/>
          <w:sz w:val="17"/>
        </w:rPr>
        <w:t xml:space="preserve">Zitiervorschlag: § 8 FreizügG/EU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https://recht.nulegal.eu/gesetze/freiz_gg_eu_2004/8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