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FreizügG/EU 2004 — Staatsangehörige der Beitrittsstaaten</w:t>
      </w:r>
    </w:p>
    <w:p>
      <w:r>
        <w:rPr>
          <w:color w:val="555555"/>
          <w:sz w:val="18"/>
        </w:rPr>
        <w:t xml:space="preserve">Freizügigkeitsgesetz/EU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Maßgabe des Beitrittsvertrages eines Mitgliedstaates zur Europäischen Union abweichende Regelungen anzuwenden sind, findet dieses Gesetz Anwendung, wenn die Beschäftigung durch die Bundesagentur für Arbeit nach § 284 Absatz 1 des Dritten Buches Sozialgesetzbuch genehmigt wurde.</w:t>
      </w:r>
    </w:p>
    <w:p>
      <w:r>
        <w:rPr>
          <w:color w:val="555555"/>
          <w:sz w:val="17"/>
        </w:rPr>
        <w:t xml:space="preserve">Zitiervorschlag: § 13 FreizügG/EU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https://recht.nulegal.eu/gesetze/freiz_gg_eu_2004/13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