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FreizügG/EU 2004 — Staatsangehörige der EWR-Staaten</w:t>
      </w:r>
    </w:p>
    <w:p>
      <w:r>
        <w:rPr>
          <w:color w:val="555555"/>
          <w:sz w:val="18"/>
        </w:rPr>
        <w:t xml:space="preserve">Freizügigkeitsgesetz/EU</w:t>
      </w:r>
    </w:p>
    <w:p>
      <w:r>
        <w:rPr>
          <w:color w:val="555555"/>
          <w:sz w:val="18"/>
        </w:rPr>
        <w:t xml:space="preserve">Stand: 24.11.2020 (konsolidierte Textfassung, kein amtliches Inkrafttretensdatum)</w:t>
      </w:r>
    </w:p>
    <w:p>
      <w:r>
        <w:t xml:space="preserve">Die nach diesem Gesetz für Unionsbürger, Familienangehörige von Unionsbürgern und nahestehende Personen von Unionsbürgern geltenden Regelungen finden jeweils auch für Staatsangehörige der EWR-Staaten, die nicht Unionsbürger sind, und für ihre Familienangehörigen und ihre nahestehenden Personen Anwendung.</w:t>
      </w:r>
    </w:p>
    <w:p>
      <w:r>
        <w:rPr>
          <w:color w:val="555555"/>
          <w:sz w:val="17"/>
        </w:rPr>
        <w:t xml:space="preserve">Zitiervorschlag: § 12 FreizügG/EU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https://recht.nulegal.eu/gesetze/freiz_gg_eu_2004/12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