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FreizügG/EU 2004 — Bußgeldvorschriften</w:t>
      </w:r>
    </w:p>
    <w:p>
      <w:r>
        <w:rPr>
          <w:color w:val="555555"/>
          <w:sz w:val="18"/>
        </w:rPr>
        <w:t xml:space="preserve">Freizügigkeitsgesetz/EU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8 Absatz 1 Nummer 1 Buchstabe b oder Nummer 3 ein dort genanntes Dokument nicht oder nicht rechtzeitig vorlegt oder</w:t>
      </w:r>
    </w:p>
    <w:p>
      <w:pPr>
        <w:ind w:left="420"/>
      </w:pPr>
      <w:r>
        <w:t xml:space="preserve">2. entgegen § 8 Absatz 1a ein dort genanntes Dokument nicht oder nicht rechtzeitig vorlegt oder einen Abgleich mit dem Lichtbild nicht oder nicht rechtzeitig ermöglicht.</w:t>
      </w:r>
    </w:p>
    <w:p>
      <w:r>
        <w:t xml:space="preserve">(2) Ordnungswidrig handelt, wer vorsätzlich oder leichtfertig entgegen § 8 Abs. 1 Nr. 2 einen Pass oder Passersatz nicht besitzt.</w:t>
      </w:r>
    </w:p>
    <w:p>
      <w:r>
        <w:t xml:space="preserve">(3) Ordnungswidrig handelt, wer vorsätzlich oder fahrlässig entgegen § 8 Abs. 1 Nr. 1 Buchstabe a einen Pass oder Passersatz nicht mit sich führt.</w:t>
      </w:r>
    </w:p>
    <w:p>
      <w:r>
        <w:t xml:space="preserve">(4) Die Ordnungswidrigkeit kann in den Fällen der Absätze 1 und 3 mit einer Geldbuße bis zu dreitausend Euro, in den übrigen Fällen mit einer Geldbuße bis zu tausend Euro geahndet werden.</w:t>
      </w:r>
    </w:p>
    <w:p>
      <w:r>
        <w:t xml:space="preserve">(5) Verwaltungsbehörde im Sinne des § 36 Abs. 1 Nr. 1 des Gesetzes über Ordnungswidrigkeiten ist in den Fällen der Absätze 1 und 3 die in der Rechtsverordnung nach § 58 Abs. 1 des Bundespolizeigesetzes bestimmte Bundespolizeibehörde.</w:t>
      </w:r>
    </w:p>
    <w:p>
      <w:r>
        <w:rPr>
          <w:color w:val="555555"/>
          <w:sz w:val="17"/>
        </w:rPr>
        <w:t xml:space="preserve">Zitiervorschlag: § 10 FreizügG/EU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https://recht.nulegal.eu/gesetze/freiz_gg_eu_2004/10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