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FotografMstrV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Auf Grund des § 45 der Handwerksordnung in der Fassung der Bekanntmachung vom 24. September 1998 (BGBl. I S. 3074), der durch Artikel 135 Nr. 3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