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FotografMstrV — Fachgespräch</w:t>
      </w:r>
    </w:p>
    <w:p>
      <w:r>
        <w:rPr>
          <w:color w:val="555555"/>
          <w:sz w:val="18"/>
        </w:rPr>
        <w:t xml:space="preserve">Fotografenmeisterverordnung</w:t>
      </w:r>
    </w:p>
    <w:p>
      <w:r>
        <w:rPr>
          <w:color w:val="555555"/>
          <w:sz w:val="18"/>
        </w:rPr>
        <w:t xml:space="preserve">Historische Fassung: Stand 10.06.2019 bis 05.03.2020.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 darstellen kann und dabei in der Lage ist, neue Entwicklungen zu berücksichtigen.</w:t>
      </w:r>
    </w:p>
    <w:p>
      <w:r>
        <w:rPr>
          <w:color w:val="555555"/>
          <w:sz w:val="17"/>
        </w:rPr>
        <w:t xml:space="preserve">Zitiervorschlag: § 5 FotografMstrV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https://recht.nulegal.eu/gesetze/fotografmstrv--2002/5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