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FeinOAusbV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Feinoptiker/zur Feinoptikerin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Der Ausbildungsberuf Feinoptiker/Feinoptikerin wird</w:t>
      </w:r>
    </w:p>
    <w:p>
      <w:pPr>
        <w:ind w:left="420"/>
      </w:pPr>
      <w:r>
        <w:t xml:space="preserve">1. gemäß § 25 der Handwerksordnung für die Ausbildung für das Gewerbe Nummer 74, Feinoptiker der Anlage A der Handwerksordnung sowie</w:t>
      </w:r>
    </w:p>
    <w:p>
      <w:pPr>
        <w:ind w:left="420"/>
      </w:pPr>
      <w:r>
        <w:t xml:space="preserve">2. gemäß § 25 des Berufsbildungsgesetzes</w:t>
      </w:r>
    </w:p>
    <w:p>
      <w:r>
        <w:t xml:space="preserve">staatlich anerkannt.</w:t>
      </w:r>
    </w:p>
    <w:p>
      <w:r>
        <w:rPr>
          <w:color w:val="555555"/>
          <w:sz w:val="17"/>
        </w:rPr>
        <w:t xml:space="preserve">Zitiervorschlag: § 1 FeinOAusbV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https://recht.nulegal.eu/gesetze/feinoausbv--2002/1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