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EWGV1016/68DV</w:t>
      </w:r>
    </w:p>
    <w:p>
      <w:r>
        <w:rPr>
          <w:color w:val="555555"/>
          <w:sz w:val="18"/>
        </w:rPr>
        <w:t xml:space="preserve">Verordnung zur Durchführung der Verordnung Nr. 117/66/EWG und der Verordnung (EWG) Nr. 1016/68 und des Übereinkommens über die Personenbeförderung im grenzüberschreitenden Gelegenheitsverkehr mit Kraftomnibussen (ASOR)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(Inkrafttreten)</w:t>
      </w:r>
    </w:p>
    <w:p>
      <w:r>
        <w:rPr>
          <w:color w:val="555555"/>
          <w:sz w:val="17"/>
        </w:rPr>
        <w:t xml:space="preserve">Zitiervorschlag: § 13 EWGV1016/68DV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https://recht.nulegal.eu/gesetze/ewgv1016_68dv/13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