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EVO — Fahrpreiserstattung</w:t>
      </w:r>
    </w:p>
    <w:p>
      <w:r>
        <w:rPr>
          <w:color w:val="555555"/>
          <w:sz w:val="18"/>
        </w:rPr>
        <w:t xml:space="preserve">Eisenbahn-Verkehrsordnung</w:t>
      </w:r>
    </w:p>
    <w:p>
      <w:r>
        <w:rPr>
          <w:color w:val="555555"/>
          <w:sz w:val="18"/>
        </w:rPr>
        <w:t xml:space="preserve">Historische Fassung: Stand 01.08.2019 bis 08.08.2023. Dies ist nicht die aktuelle Fassung.</w:t>
      </w:r>
    </w:p>
    <w:p>
      <w:r>
        <w:t xml:space="preserve">(1) Hat ein Reisender den Fahrausweis nicht zur Fahrt benutzt, so kann er den Fahrpreis zurückverlangen. Ist der Fahrausweis nur auf einer Teilstrecke benutzt worden, so wird der Unterschied zwischen dem gezahlten Fahrpreis und dem gewöhnlichen Fahrpreis für die zurückgelegte Strecke erstattet.</w:t>
      </w:r>
    </w:p>
    <w:p>
      <w:r>
        <w:t xml:space="preserve">(2) Der Tarif bestimmt, bei welchen ermäßigten Fahrausweisen der Fahrpreis erstattet wird.</w:t>
      </w:r>
    </w:p>
    <w:p>
      <w:r>
        <w:t xml:space="preserve">(3) (weggefallen)</w:t>
      </w:r>
    </w:p>
    <w:p>
      <w:r>
        <w:t xml:space="preserve">(4) Von dem zu erstattenden Betrag wird das tarifmäßige Entgelt für die Bearbeitung des Erstattungsantrags abgezogen. Der Tarif bestimmt auch, in welchen Fällen der Abzug unterbleibt.</w:t>
      </w:r>
    </w:p>
    <w:p>
      <w:r>
        <w:t xml:space="preserve">(5) Der Fahrpreis für verlorene Fahrausweise wird nicht erstattet.</w:t>
      </w:r>
    </w:p>
    <w:p>
      <w:r>
        <w:t xml:space="preserve">(6) Der Tarif kann von den vorstehenden Bestimmungen Abweichungen vorsehen, die jedoch für die Reisenden nicht ungünstiger sein dürfen.</w:t>
      </w:r>
    </w:p>
    <w:p>
      <w:r>
        <w:t xml:space="preserve">(7) Alle Ansprüche auf Fahrpreiserstattung nach dieser Vorschrift erlöschen, wenn sie nicht binnen sechs Monaten nach Ablauf der Geltungsdauer des Fahrausweises bei der Eisenbahn geltend gemacht werden.</w:t>
      </w:r>
    </w:p>
    <w:p>
      <w:r>
        <w:rPr>
          <w:color w:val="555555"/>
          <w:sz w:val="17"/>
        </w:rPr>
        <w:t xml:space="preserve">Zitiervorschlag: § 9 EVO</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https://recht.nulegal.eu/gesetze/evo--1938/9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