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EVO — Verspätung im Schienenpersonennahverkehr</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Besitzt der Reisende einen Fahrausweis, der ausschließlich für den öffentlichen Personennahverkehr gilt, so hat er, sofern vernünftigerweise davon ausgegangen werden muss, dass er wegen eines Ausfalls oder einer Unpünktlichkeit des von ihm gemäß dem Beförderungsvertrag gewählten Zuges eines Eisenbahnverkehrsunternehmens verspätet am Zielort ankommen wird, neben den in der Verordnung (EG) Nr. 1371/2007 genannten Rechten und Ansprüchen die folgenden Rechte:</w:t>
      </w:r>
    </w:p>
    <w:p>
      <w:pPr>
        <w:ind w:left="420"/>
      </w:pPr>
      <w:r>
        <w:t xml:space="preserve">1. Der Reisende kann die Fahrt zum vertragsgemäßen Zielort mit einem anderen Zug durchführen, sofern vernünftigerweise davon ausgegangen werden muss, dass der Reisende mindestens 20 Minuten verspätet am Zielort ankommen wird. Der Reisende kann die Benutzung des anderen Zuges jedoch nicht verlangen, wenn für diesen eine Reservierungspflicht besteht oder der Zug eine Sonderfahrt durchführt.</w:t>
      </w:r>
    </w:p>
    <w:p>
      <w:pPr>
        <w:ind w:left="420"/>
      </w:pPr>
      <w:r>
        <w:t xml:space="preserve">2. Der Reisende kann die Fahrt zum vertragsgemäßen Zielort mit einem anderen Verkehrsmittel durchführen, sofern die vertragsgemäße Ankunftszeit in den Zeitraum zwischen 0.00 Uhr und 5.00 Uhr fällt und vernünftigerweise davon ausgegangen werden muss, dass der Reisende mindestens 60 Minuten verspätet am Zielort ankommen wird, oder sofern es sich bei dem vom Reisenden gewählten Zug um die letzte fahrplanmäßige Verbindung des Tages handelt und der Reisende wegen des Ausfalls dieses Zuges den vertragsgemäßen Zielort ohne die Nutzung des anderen Verkehrsmittels nicht mehr bis um 24.00 Uhr erreichen kann.</w:t>
      </w:r>
    </w:p>
    <w:p>
      <w:r>
        <w:t xml:space="preserve">(2) Macht der Reisende von seinem Recht nach Absatz 1 Gebrauch, so kann er von demjenigen, mit dem er den Beförderungsvertrag geschlossen hat, Ersatz der erforderlichen Aufwendungen verlangen, für eine Beförderung nach Absatz 1 Nr. 2 jedoch nur die erforderlichen Aufwendungen bis zu einem Höchstbetrag von 80 Euro.</w:t>
      </w:r>
    </w:p>
    <w:p>
      <w:r>
        <w:t xml:space="preserve">(2a) Reisende, die wegen Ausfalls oder Unpünktlichkeit des Zuges gemäß Absatz 1 mit einem anderen Zug fahren wollen, können von der Beförderung mit einem bestimmten anderen Zug ausgeschlossen werden, wenn ansonsten eine erhebliche Störung des Betriebsablaufs zu erwarten ist.</w:t>
      </w:r>
    </w:p>
    <w:p>
      <w:r>
        <w:t xml:space="preserve">(3) Dem Reisenden steht der Anspruch nach Absatz 2 nicht zu, wenn der Ausfall oder die Unpünktlichkeit des Zuges auf eine der folgenden Ursachen zurückzuführen ist:</w:t>
      </w:r>
    </w:p>
    <w:p>
      <w:pPr>
        <w:ind w:left="420"/>
      </w:pPr>
      <w:r>
        <w:t xml:space="preserve">1. betriebsfremde Umstände, die das Eisenbahnverkehrsunternehmen, das den Zug betreibt, trotz Anwendung der nach Lage des Falles gebotenen Sorgfalt nicht vermeiden und deren Folgen es nicht abwenden konnte;</w:t>
      </w:r>
    </w:p>
    <w:p>
      <w:pPr>
        <w:ind w:left="420"/>
      </w:pPr>
      <w:r>
        <w:t xml:space="preserve">2. Verschulden des Reisenden;</w:t>
      </w:r>
    </w:p>
    <w:p>
      <w:pPr>
        <w:ind w:left="420"/>
      </w:pPr>
      <w:r>
        <w:t xml:space="preserve">3. Verhalten eines Dritten, das das Eisenbahnverkehrsunternehmen, das den Zug betreibt, trotz Anwendung der nach Lage des Falles gebotenen Sorgfalt nicht vermeiden und dessen Folgen es nicht abwenden konnte.</w:t>
      </w:r>
    </w:p>
    <w:p>
      <w:r>
        <w:t xml:space="preserve">Liegt eine der in Satz 1 Nr. 1 oder Nr. 3 genannten Ursachen vor, so kann sich derjenige, mit dem der Reisende den Beförderungsvertrag geschlossen hat, hierauf nur berufen, wenn der Reisende über die Ursache rechtzeitig unterrichtet wurde oder wenn die Ursache offensichtlich war. Der Betreiber der Eisenbahninfrastruktur, auf der die Beförderung erfolgt, ist im Verhältnis zum Eisenbahnverkehrsunternehmen nicht als Dritter anzusehen.</w:t>
      </w:r>
    </w:p>
    <w:p>
      <w:r>
        <w:rPr>
          <w:color w:val="555555"/>
          <w:sz w:val="17"/>
        </w:rPr>
        <w:t xml:space="preserve">Zitiervorschlag: § 8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