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EVO — Beförderungsbedingungen</w:t>
      </w:r>
    </w:p>
    <w:p>
      <w:r>
        <w:rPr>
          <w:color w:val="555555"/>
          <w:sz w:val="18"/>
        </w:rPr>
        <w:t xml:space="preserve">Eisenbahn-Verkehrsordnung</w:t>
      </w:r>
    </w:p>
    <w:p>
      <w:r>
        <w:rPr>
          <w:color w:val="555555"/>
          <w:sz w:val="18"/>
        </w:rPr>
        <w:t xml:space="preserve">Historische Fassung: Stand 01.08.2019 bis 08.08.2023. Dies ist nicht die aktuelle Fassung.</w:t>
      </w:r>
    </w:p>
    <w:p>
      <w:r>
        <w:t xml:space="preserve">Das Eisenbahnverkehrsunternehmen kann zugunsten des Reisenden von allen nachfolgenden Bestimmungen dieser Verordnung in den Beförderungsbedingungen abweichen. Darüber hinaus kann das Eisenbahnverkehrsunternehmen in den Beförderungsbedingungen von § 8 Absatz 1 Nummer 1 abweichen, wenn nach dem vorgesehenen Tarif für den Fahrausweis ein erheblich ermäßigtes Beförderungsentgelt zu zahlen ist. Erheblich ermäßigte Beförderungsentgelte sind solche, die im Tarif ausdrücklich so benannt sind und eine Ersparnis gegenüber dem gewöhnlichen Fahrpreis von mehr als 50 Prozent gewähren. Mehrtages-Zeitkarten, insbesondere Wochen-, Monats- und Jahreskarten, gelten nicht als ermäßigte Beförderungsentgelte im Sinne von Satz 3.</w:t>
      </w:r>
    </w:p>
    <w:p>
      <w:r>
        <w:rPr>
          <w:color w:val="555555"/>
          <w:sz w:val="17"/>
        </w:rPr>
        <w:t xml:space="preserve">Zitiervorschlag: § 2 EVO</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https://recht.nulegal.eu/gesetze/evo--1938/2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