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EVO — Anwendungsbereich</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Auf die Beförderung von Personen und Reisegepäck durch öffentliche Eisenbahnen sind die Vorschriften dieser Verordnung anzuwenden, soweit nicht</w:t>
      </w:r>
    </w:p>
    <w:p>
      <w:pPr>
        <w:ind w:left="420"/>
      </w:pPr>
      <w:r>
        <w:t xml:space="preserve">1. das Übereinkommen vom 9. Mai 1980 über den internationalen Eisenbahnverkehr (COTIF) in der Fassung des Änderungsprotokolls vom 3. Juni 1999 (BGBl. 2002 II S. 2140, 2142, 2149), zuletzt geändert durch die Beschlüsse vom 29. und 30. September 2015 (BGBl. 2017 II S. 820, 822, 826, 828, 829), in der jeweils geltenden Fassung oder</w:t>
      </w:r>
    </w:p>
    <w:p>
      <w:pPr>
        <w:ind w:left="420"/>
      </w:pPr>
      <w:r>
        <w:t xml:space="preserve">2. anzuwendende Vorschriften der Verordnung (EG) Nr. 1371/2007 des Europäischen Parlaments und des Rates vom 23. Oktober 2007 über die Rechte und Pflichten der Fahrgäste im Eisenbahnverkehr (ABl. L 315 vom 3.12.2007, S. 14) in der jeweils geltenden Fassung</w:t>
      </w:r>
    </w:p>
    <w:p>
      <w:r>
        <w:t xml:space="preserve">inhaltsgleiche oder entgegenstehende Regelungen enthalten.</w:t>
      </w:r>
    </w:p>
    <w:p>
      <w:r>
        <w:t xml:space="preserve">(2) Auf Beförderungen im Schienenpersonennahverkehr sind Artikel 8 Absatz 2, Artikel 18 Absatz 2 Buchstabe a, Artikel 27 Absatz 3, Artikel 28 und 29 Absatz 1 Satz 1 der Verordnung (EG) Nr. 1371/2007 nicht anzuwenden.</w:t>
      </w:r>
    </w:p>
    <w:p>
      <w:r>
        <w:t xml:space="preserve">(3) Auf Beförderungen im Schienenpersonennahverkehr, die hauptsächlich aus Gründen historischen Interesses oder zu touristischen Zwecken betrieben werden, sind die Vorschriften der Verordnung (EG) Nr. 1371/2007 nach Maßgabe ihres Artikels 2 Absatz 5 nicht anzuwenden.</w:t>
      </w:r>
    </w:p>
    <w:p>
      <w:r>
        <w:rPr>
          <w:color w:val="555555"/>
          <w:sz w:val="17"/>
        </w:rPr>
        <w:t xml:space="preserve">Zitiervorschlag: § 1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