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EU/EWRHwV 2016</w:t>
      </w:r>
    </w:p>
    <w:p>
      <w:r>
        <w:rPr>
          <w:color w:val="555555"/>
          <w:sz w:val="18"/>
        </w:rPr>
        <w:t xml:space="preserve">EU/EWR-Handwerk-Verordnung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 Absatz 1 Satz 1 Nummer 1 und 2 der Handwerksordnung in der Fassung der Bekanntmachung vom 24. September 1998 (BGBl. I S. 3074; 2006 I S. 2095), der zuletzt durch Artikel 283 der Verordnung vom 31. August 2015 (BGBl. I S. 1474) geändert worden ist, verordnet das Bundesministerium für Wirtschaft und Energie:</w:t>
      </w:r>
    </w:p>
    <w:p>
      <w:r>
        <w:rPr>
          <w:color w:val="555555"/>
          <w:sz w:val="17"/>
        </w:rPr>
        <w:t xml:space="preserve">Zitiervorschlag: Eingangsformel EU/EWRHwV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https://recht.nulegal.eu/gesetze/eu_ewrhwv_2016/eingangsformel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