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EU/EWRHwV 2016 — Voraussetzungen der Dienstleistungserbringung</w:t>
      </w:r>
    </w:p>
    <w:p>
      <w:r>
        <w:rPr>
          <w:color w:val="555555"/>
          <w:sz w:val="18"/>
        </w:rPr>
        <w:t xml:space="preserve">EU/EWR-Handwerk-Verordnung</w:t>
      </w:r>
    </w:p>
    <w:p>
      <w:r>
        <w:rPr>
          <w:color w:val="555555"/>
          <w:sz w:val="18"/>
        </w:rPr>
        <w:t xml:space="preserve">Stand: 13.06.2026 (konsolidierte Textfassung, kein amtliches Inkrafttretensdatum)</w:t>
      </w:r>
    </w:p>
    <w:p>
      <w:r>
        <w:t xml:space="preserve">(1) Staatsangehörigen eines Herkunftsstaates, die im Inland keine gewerbliche Niederlassung unterhalten, ist die vorübergehende und gelegentliche Erbringung von Dienstleistungen in einem Handwerk der Anlage A der Handwerksordnung gestattet, wenn sie in einem anderen Herkunftsstaat zur Ausübung vergleichbarer Tätigkeiten rechtmäßig niedergelassen sind. Setzt der andere Herkunftsstaat für die Ausübung der betreffenden Tätigkeiten keine bestimmte berufliche Qualifikation voraus und verfügt die Dienstleistungserbringerin oder der Dienstleistungserbringer über keine reglementierte Ausbildung im Sinne von § 3 Absatz 2 Satz 2 für die Tätigkeiten, so ist Satz 1 nur anzuwenden, wenn die Tätigkeiten im anderen Herkunftsstaat als Vollzeitbeschäftigung mindestens ein Jahr oder als entsprechende Teilzeitbeschäftigung tatsächlich und rechtmäßig ausgeübt worden sind und nicht länger als zehn Jahre zurückliegen.</w:t>
      </w:r>
    </w:p>
    <w:p>
      <w:r>
        <w:t xml:space="preserve">(2) Beabsichtigen Staatsangehörige eines Herkunftsstaates, Dienstleistungen erstmals in einem Handwerk der Anlage A Nummer 33 bis 37 der Handwerksordnung in der Bundesrepublik Deutschland zu erbringen, so muss die zuständige Behörde vor der Dienstleistungserbringung die Berufsqualifikation der Dienstleistungserbringerin oder des Dienstleistungserbringers prüfen, wenn unter Berücksichtigung der beabsichtigten Tätigkeit bei unzureichender Qualifikation eine schwere Gefahr für die Gesundheit oder Sicherheit der Dienstleistungsempfänger oder Dienstleistungsempfängerinnen bestünde.</w:t>
      </w:r>
    </w:p>
    <w:p>
      <w:r>
        <w:rPr>
          <w:color w:val="555555"/>
          <w:sz w:val="17"/>
        </w:rPr>
        <w:t xml:space="preserve">Zitiervorschlag: § 8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