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EU/EWRHwV 2016 — Ausgleichsmaßnahmen</w:t>
      </w:r>
    </w:p>
    <w:p>
      <w:r>
        <w:rPr>
          <w:color w:val="555555"/>
          <w:sz w:val="18"/>
        </w:rPr>
        <w:t xml:space="preserve">EU/EWR-Handwerk-Verordnung</w:t>
      </w:r>
    </w:p>
    <w:p>
      <w:r>
        <w:rPr>
          <w:color w:val="555555"/>
          <w:sz w:val="18"/>
        </w:rPr>
        <w:t xml:space="preserve">Stand: 01.01.2022 (konsolidierte Textfassung, kein amtliches Inkrafttretensdatum)</w:t>
      </w:r>
    </w:p>
    <w:p>
      <w:r>
        <w:t xml:space="preserve">(1) Die zuständige Behörde kann von der Antragstellerin oder dem Antragsteller vor der Erteilung einer Ausnahmebewilligung als Ausgleichsmaßnahme die Teilnahme an einem höchstens dreijährigen Anpassungslehrgang oder das Ablegen einer Eignungsprüfung verlangen, wenn</w:t>
      </w:r>
    </w:p>
    <w:p>
      <w:pPr>
        <w:ind w:left="420"/>
      </w:pPr>
      <w:r>
        <w:t xml:space="preserve">1. die bisherige Ausbildung der Antragstellerin oder des Antragstellers sich auf Fächer oder Handlungsfelder bezieht, die sich wesentlich von denen unterscheiden, die durch eine inländische Meisterprüfung in dem entsprechenden Handwerk abgedeckt werden, oder</w:t>
      </w:r>
    </w:p>
    <w:p>
      <w:pPr>
        <w:ind w:left="420"/>
      </w:pPr>
      <w:r>
        <w:t xml:space="preserve">2. das Gewerbe, für das eine Ausnahmebewilligung beantragt wird, im Inland wesentliche Tätigkeiten umfasst, die im Herkunftsstaat der Antragstellerin oder des Antragstellers nicht Bestandteil des entsprechenden Berufes sind und, wenn dieser Unterschied in einer besonderen Ausbildung besteht, die im Inland erforderlich ist und sich auf Fächer oder Handlungsfelder bezieht, die sich wesentlich von denen unterscheiden, die durch den vorgelegten Befähigungs- oder Ausbildungsnachweis abgedeckt werden.</w:t>
      </w:r>
    </w:p>
    <w:p>
      <w:r>
        <w:t xml:space="preserve">Die Antragstellerin oder der Antragsteller kann zwischen der Teilnahme an einem Anpassungslehrgang oder dem Ablegen einer Eignungsprüfung als Ausgleichsmaßnahme wählen.</w:t>
      </w:r>
    </w:p>
    <w:p>
      <w:r>
        <w:t xml:space="preserve">(2) Ausgleichsmaßnahmen werden nicht angeordnet</w:t>
      </w:r>
    </w:p>
    <w:p>
      <w:pPr>
        <w:ind w:left="420"/>
      </w:pPr>
      <w:r>
        <w:t xml:space="preserve">1. in den Fällen der §§ 2 und 4,</w:t>
      </w:r>
    </w:p>
    <w:p>
      <w:pPr>
        <w:ind w:left="420"/>
      </w:pPr>
      <w:r>
        <w:t xml:space="preserve">2. wenn die von der Antragstellerin oder dem Antragsteller im Rahmen der Berufserfahrung erworbenen Kenntnisse geeignet sind, die in Absatz 1 genannten Unterschiede auszugleichen, oder</w:t>
      </w:r>
    </w:p>
    <w:p>
      <w:pPr>
        <w:ind w:left="420"/>
      </w:pPr>
      <w:r>
        <w:t xml:space="preserve">3. wenn die von der Antragstellerin oder dem Antragsteller durch lebenslanges Lernen erworbenen Kenntnisse, Fähigkeiten und Kompetenzen, die hierfür von einer zuständigen Behörde oder öffentlichen Einrichtung des anderen Herkunftsstaates als gültig anerkannt wurden, den wesentlichen Unterschied in Bezug auf die Fächer oder Handlungsfelder gemäß Absatz 1 Nummer 1 ausgleichen können; das lebenslange Lernen umfasst jegliche Aktivitäten der allgemeinen, beruflichen und sonstigen Bildung sowie des informellen Lernens während des gesamten Lebens, aus denen sich eine Verbesserung von Kenntnissen, Fähigkeiten und Kompetenzen ergibt.</w:t>
      </w:r>
    </w:p>
    <w:p>
      <w:r>
        <w:rPr>
          <w:color w:val="555555"/>
          <w:sz w:val="17"/>
        </w:rPr>
        <w:t xml:space="preserve">Zitiervorschlag: § 5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