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EU/EWRHwV 2016 — Inkrafttreten, Außerkrafttreten</w:t>
      </w:r>
    </w:p>
    <w:p>
      <w:r>
        <w:rPr>
          <w:color w:val="555555"/>
          <w:sz w:val="18"/>
        </w:rPr>
        <w:t xml:space="preserve">EU/EWR-Handwerk-Verordnung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 Gleichzeitig tritt die EU/EWR-Handwerk-Verordnung vom 20. Dezember 2007 (BGBl. I S. 3075) außer Kraft.</w:t>
      </w:r>
    </w:p>
    <w:p>
      <w:r>
        <w:rPr>
          <w:color w:val="555555"/>
          <w:sz w:val="17"/>
        </w:rPr>
        <w:t xml:space="preserve">Zitiervorschlag: § 12 EU/EWRHwV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https://recht.nulegal.eu/gesetze/eu_ewrhwv_2016/12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