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EU/EWRHwV 2016 — Ordnungswidrigkeiten</w:t>
      </w:r>
    </w:p>
    <w:p>
      <w:r>
        <w:rPr>
          <w:color w:val="555555"/>
          <w:sz w:val="18"/>
        </w:rPr>
        <w:t xml:space="preserve">EU/EWR-Handwerk-Verordnung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118 Absatz 1 Nummer 7 der Handwerksordnung handelt, wer entgegen § 9 Absatz 1 Satz 1 eine Anzeige nicht, nicht richtig, nicht vollständig, nicht in der vorgeschriebenen Weise oder nicht rechtzeitig erstattet.</w:t>
      </w:r>
    </w:p>
    <w:p>
      <w:r>
        <w:rPr>
          <w:color w:val="555555"/>
          <w:sz w:val="17"/>
        </w:rPr>
        <w:t xml:space="preserve">Zitiervorschlag: § 11 EU/EWRHwV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https://recht.nulegal.eu/gesetze/eu_ewrhwv_2016/11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