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EStSchlEV</w:t>
      </w:r>
    </w:p>
    <w:p>
      <w:r>
        <w:rPr>
          <w:color w:val="555555"/>
          <w:sz w:val="18"/>
        </w:rPr>
        <w:t xml:space="preserve">Einkommensteuerschlüsselzahlenermittlungsverordnung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Auf Grund des § 3 Absatz 3 in Verbindung mit Absatz 1 des Gemeindefinanzreformgesetzes, von denen Absatz 1 zuletzt durch Artikel 1 des Gesetzes vom 8. Mai 2012 (BGBl. I S. 1030)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EStSchlEV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https://recht.nulegal.eu/gesetze/estschlev--2017/eingangsformel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