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EStSchlEV</w:t>
      </w:r>
    </w:p>
    <w:p>
      <w:r>
        <w:rPr>
          <w:color w:val="555555"/>
          <w:sz w:val="18"/>
        </w:rPr>
        <w:t xml:space="preserve">Einkommensteuerschlüsselzahlenermittlungsverordnung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 Schlüsselzahlen sind auf acht Stellen nach dem Komma zu berechnen und auf die siebte Stelle nach dem Komma zu runden.</w:t>
      </w:r>
    </w:p>
    <w:p>
      <w:r>
        <w:rPr>
          <w:color w:val="555555"/>
          <w:sz w:val="17"/>
        </w:rPr>
        <w:t xml:space="preserve">Zitiervorschlag: § 3 EStSchlEV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https://recht.nulegal.eu/gesetze/estschlev--2017/3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