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EstrMstrV</w:t>
      </w:r>
    </w:p>
    <w:p>
      <w:r>
        <w:rPr>
          <w:color w:val="555555"/>
          <w:sz w:val="18"/>
        </w:rPr>
        <w:t xml:space="preserve">Estrichlegermeisterverordnung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Auf Grund des § 45 der Handwerksordnung in der Fassung der Bekanntmachung vom 28. Dezember 1965 (BGBl. 1966 I S. 1), der zuletzt durch Artikel 1 Nr. 63 des Gesetzes vom 20. Dezember 1993 (BGBl. I S. 2256) geändert worden ist, in Verbindung mit Artikel 56 Abs. 1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EstrMstrV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https://recht.nulegal.eu/gesetze/estrmstrv--1995/eingangsformel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