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ESiV — Ordnungswidrigkeiten</w:t>
      </w:r>
    </w:p>
    <w:p>
      <w:r>
        <w:rPr>
          <w:color w:val="555555"/>
          <w:sz w:val="18"/>
        </w:rPr>
        <w:t xml:space="preserve">Eisenbahn-Sicherheitsverordnung</w:t>
      </w:r>
    </w:p>
    <w:p>
      <w:r>
        <w:rPr>
          <w:color w:val="555555"/>
          <w:sz w:val="18"/>
        </w:rPr>
        <w:t xml:space="preserve">Historische Fassung: Stand 10.06.2019 bis 01.07.2020. Dies ist nicht die aktuelle Fassung.</w:t>
      </w:r>
    </w:p>
    <w:p>
      <w:r>
        <w:t xml:space="preserve">Ordnungswidrig im Sinne des § 28 Abs. 1 Nr. 6 Buchstabe b des Allgemeinen Eisenbahngesetzes handelt, wer vorsätzlich oder fahrlässig als im Unternehmen Verantwortlicher entgegen § 6 Satz 1 den Sicherheitsbericht nicht, nicht richtig, nicht vollständig oder nicht rechtzeitig vorlegt.</w:t>
      </w:r>
    </w:p>
    <w:p>
      <w:r>
        <w:rPr>
          <w:color w:val="555555"/>
          <w:sz w:val="17"/>
        </w:rPr>
        <w:t xml:space="preserve">Zitiervorschlag: § 8 ESiV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https://recht.nulegal.eu/gesetze/esiv--2007/8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