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ESiV — Unterrichtungspflichten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Die Sicherheitsbehörde unterrichtet nach dem Widerruf einer nationalen Bescheinigung im Sinne des § 7a Abs. 4 des Allgemeines Eisenbahngesetzes unverzüglich die Sicherheitsbehörde des anderen Mitgliedstaates, die die der nationalen Bescheinigung zugrunde liegende Sicherheitsbescheinigung erteilt hat, über ihre Entscheidung.</w:t>
      </w:r>
    </w:p>
    <w:p>
      <w:r>
        <w:t xml:space="preserve">(2) Die Sicherheitsbehörde unterrichtet die Europäische Eisenbahnagentur (Agentur) binnen einen Monats über die Erteilung, Erneuerung, Änderung oder den Widerruf von Sicherheitsbescheinigungen nach § 7a Abs. 2 Nr. 1 und von Sicherheitsgenehmigungen nach § 7c Abs. 2 Nr. 1 in Verbindung mit § 7b des Allgemeinen Eisenbahngesetzes. Die Mitteilung enthält Name und Anschrift des Eisenbahnverkehrsunternehmens, das Ausgabedatum, den Geltungsbereich und die Gültigkeitsdauer der Sicherheitsbescheinigung oder Sicherheitsgenehmigung, sowie im Fall des Widerrufs die Gründe dafür.</w:t>
      </w:r>
    </w:p>
    <w:p>
      <w:r>
        <w:rPr>
          <w:color w:val="555555"/>
          <w:sz w:val="17"/>
        </w:rPr>
        <w:t xml:space="preserve">Zitiervorschlag: § 5 ESiV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https://recht.nulegal.eu/gesetze/esiv--2007/5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