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ESiV — Begriffsbestimmungen</w:t>
      </w:r>
    </w:p>
    <w:p>
      <w:r>
        <w:rPr>
          <w:color w:val="555555"/>
          <w:sz w:val="18"/>
        </w:rPr>
        <w:t xml:space="preserve">Eisenbahn-Sicherheitsverordnung</w:t>
      </w:r>
    </w:p>
    <w:p>
      <w:r>
        <w:rPr>
          <w:color w:val="555555"/>
          <w:sz w:val="18"/>
        </w:rPr>
        <w:t xml:space="preserve">Historische Fassung: Stand 10.06.2019 bis 01.07.2020. Dies ist nicht die aktuelle Fassung.</w:t>
      </w:r>
    </w:p>
    <w:p>
      <w:r>
        <w:t xml:space="preserve">Im Sinne dieser Verordnung bedeuten:</w:t>
      </w:r>
    </w:p>
    <w:p>
      <w:pPr>
        <w:ind w:left="420"/>
      </w:pPr>
      <w:r>
        <w:t xml:space="preserve">1. "Sicherheitsvorschriften" alle Regeln, die Anforderungen zur Gewährleistung der Eisenbahnbetriebssicherheit enthalten und für mehr als eine Eisenbahn gelten, unabhängig davon, welche Stelle diese Regeln festlegt;</w:t>
      </w:r>
    </w:p>
    <w:p>
      <w:pPr>
        <w:ind w:left="420"/>
      </w:pPr>
      <w:r>
        <w:t xml:space="preserve">2. "Technische Spezifikationen für die Interoperabilität" (TSI) Spezifikationen im Sinne des Kapitels II der Richtlinie 2008/57/EG des Europäischen Parlaments und des Rates vom 17. Juni 2008 über die Interoperabilität des Eisenbahnsystems in der Gemeinschaft (ABl. L 191 vom 18.7.2008, S. 1), die zuletzt durch die Richtlinie 2014/106/EU (ABl. L 355 vom 12.12.2014, S. 42) geändert worden ist, oder der Richtlinien 96/48/EG des Rates vom 23. Juli 1996 über die Interoperabilität des transeuropäischen Hochgeschwindigkeitsbahnsystems (ABl. L 235 vom 17.9.1996, S. 6) und 2001/16/EG des Europäischen Parlaments und des Rates vom 19. März 2001 über die Interoperabilität des konventionellen transeuropäischen Eisenbahnsystems (ABl. L 110 vom 20.4.2001, S. 1), die jeweils zuletzt durch die Richtlinie 2007/32/EG (ABl. L 141 vom 2.6.2007, S. 63) geändert worden sind, die für jedes Teilsystem oder Teile davon im Hinblick auf die Erfüllung der grundlegenden Anforderungen gelten und die Interoperabilität gewährleisten.</w:t>
      </w:r>
    </w:p>
    <w:p>
      <w:r>
        <w:rPr>
          <w:color w:val="555555"/>
          <w:sz w:val="17"/>
        </w:rPr>
        <w:t xml:space="preserve">Zitiervorschlag: § 2 ESiV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https://recht.nulegal.eu/gesetze/esiv--2007/2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