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ESiV — Anwendungsbereich</w:t>
      </w:r>
    </w:p>
    <w:p>
      <w:r>
        <w:rPr>
          <w:color w:val="555555"/>
          <w:sz w:val="18"/>
        </w:rPr>
        <w:t xml:space="preserve">Eisenbahn-Sicherheitsverordnung</w:t>
      </w:r>
    </w:p>
    <w:p>
      <w:r>
        <w:rPr>
          <w:color w:val="555555"/>
          <w:sz w:val="18"/>
        </w:rPr>
        <w:t xml:space="preserve">Historische Fassung: Stand 10.12.2019 bis 01.07.2020. Dies ist nicht die aktuelle Fassung.</w:t>
      </w:r>
    </w:p>
    <w:p>
      <w:r>
        <w:t xml:space="preserve">(1) Diese Verordnung gilt für das öffentliche Eisenbahnsystem im übergeordneten Netz nach § 2b des Allgemeinen Eisenbahngesetzes.</w:t>
      </w:r>
    </w:p>
    <w:p>
      <w:r>
        <w:t xml:space="preserve">(2) Diese Verordnung gilt nicht</w:t>
      </w:r>
    </w:p>
    <w:p>
      <w:pPr>
        <w:ind w:left="420"/>
      </w:pPr>
      <w:r>
        <w:t xml:space="preserve">1. für Eisenbahnen, die auf Eisenbahninfrastrukturen nach § 2b Absatz 1 Nummer 1 bis 4 des Allgemeinen Eisenbahngesetzes bis in einen Übergangsbahnhof des übergeordneten Netzes ohne Sicherheitsbescheinigung am Eisenbahnbetrieb teilnehmen,</w:t>
      </w:r>
    </w:p>
    <w:p>
      <w:pPr>
        <w:ind w:left="420"/>
      </w:pPr>
      <w:r>
        <w:t xml:space="preserve">2. für Eisenbahnen, die ausschließlich Fahrzeuge für historische oder touristische Zwecke nutzen, und</w:t>
      </w:r>
    </w:p>
    <w:p>
      <w:pPr>
        <w:ind w:left="420"/>
      </w:pPr>
      <w:r>
        <w:t xml:space="preserve">3. für Serviceeinrichtungen nach Anlage 2 Nummer 2 des Eisenbahnregulierungsgesetzes.</w:t>
      </w:r>
    </w:p>
    <w:p>
      <w:r>
        <w:t xml:space="preserve">Abweichend von Satz 1 Nummer 3 gilt die Verordnung für Schienenwege der Serviceeinrichtungen nach Anlage 2 Nummer 2 Satz 1 Buchstabe a und b des Eisenbahnregulierungsgesetzes.</w:t>
      </w:r>
    </w:p>
    <w:p>
      <w:r>
        <w:rPr>
          <w:color w:val="555555"/>
          <w:sz w:val="17"/>
        </w:rPr>
        <w:t xml:space="preserve">Zitiervorschlag: § 1 ESiV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https://recht.nulegal.eu/gesetze/esiv--2007/1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