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ElektroTechMstrV</w:t>
      </w:r>
    </w:p>
    <w:p>
      <w:r>
        <w:rPr>
          <w:color w:val="555555"/>
          <w:sz w:val="18"/>
        </w:rPr>
        <w:t xml:space="preserve">Elektrotechnikermeisterverordnung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Auf Grund des § 45 der Handwerksordnung in der Fassung der Bekanntmachung vom 24. September 1998 (BGBl. I S. 3074), der durch Artikel 135 Nr. 3 der Verordnung vom 29. Oktober 2001 (BGBl. I S. 2785)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ElektroTechMstrV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https://recht.nulegal.eu/gesetze/elektrotechmstrv--2002/eingangsformel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