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ElektroMbMstrV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Auf Grund des § 45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