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EJG — Auskunft, Berichtigung, Sperrung und Löschung</w:t>
      </w:r>
    </w:p>
    <w:p>
      <w:r>
        <w:rPr>
          <w:color w:val="555555"/>
          <w:sz w:val="18"/>
        </w:rPr>
        <w:t xml:space="preserve">Eurojust-Gesetz</w:t>
      </w:r>
    </w:p>
    <w:p>
      <w:r>
        <w:rPr>
          <w:color w:val="555555"/>
          <w:sz w:val="18"/>
        </w:rPr>
        <w:t xml:space="preserve">Historische Fassung: Stand 02.12.2019 bis 17.12.2019. Dies ist nicht die aktuelle Fassung.</w:t>
      </w:r>
    </w:p>
    <w:p>
      <w:r>
        <w:t xml:space="preserve">(1) Soweit Ansprüche von Betroffenen nach Artikel 19 Abs. 1 und Artikel 20 Abs. 1 des Eurojust-Beschlusses in der Bundesrepublik Deutschland geltend gemacht werden, ist der entsprechende Antrag beim Bundesministerium der Justiz und für Verbraucherschutz einzureichen. Er wird an Eurojust weitergeleitet.</w:t>
      </w:r>
    </w:p>
    <w:p>
      <w:r>
        <w:t xml:space="preserve">(2) Für die Geltendmachung eines Anspruchs auf Auskunft gelten § 57 Absatz 1 Satz 1 und 2 Nummer 1 bis 4 und Absatz 3 sowie § 59 Absatz 3 Satz 1 des Bundesdatenschutzgesetzes entsprechend. Satz 1 findet keine Anwendung, soweit eine Behörde eines anderen Mitgliedstaats das ihr in Artikel 19 Abs. 3 Satz 2 des Eurojust-Beschlusses eingeräumte Recht ausübt. Für die Geltendmachung eines Anspruchs auf Berichtigung, Sperrung oder Löschung gilt § 58 Absatz 1 bis 3 des Bundesdatenschutzgesetzes entsprechend.</w:t>
      </w:r>
    </w:p>
    <w:p>
      <w:r>
        <w:rPr>
          <w:color w:val="555555"/>
          <w:sz w:val="17"/>
        </w:rPr>
        <w:t xml:space="preserve">Zitiervorschlag: § 8 EJG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https://recht.nulegal.eu/gesetze/ejg--2004/8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