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4c EJG — Weitergabe von Informationen durch Eurojust-Anlaufstellen</w:t>
      </w:r>
    </w:p>
    <w:p>
      <w:r>
        <w:rPr>
          <w:color w:val="555555"/>
          <w:sz w:val="18"/>
        </w:rPr>
        <w:t xml:space="preserve">Eurojust-Gesetz</w:t>
      </w:r>
    </w:p>
    <w:p>
      <w:r>
        <w:rPr>
          <w:color w:val="555555"/>
          <w:sz w:val="18"/>
        </w:rPr>
        <w:t xml:space="preserve">Historische Fassung: Stand 10.06.2019 bis 17.12.2019. Dies ist nicht die aktuelle Fassung.</w:t>
      </w:r>
    </w:p>
    <w:p>
      <w:r>
        <w:t xml:space="preserve">Die Eurojust-Anlaufstellen nach § 4b Absatz 1 sind berechtigt, Informationen aus dem Index und den Arbeitsdateien an die zuständigen deutschen Strafverfolgungsbehörden weiterzugeben, wenn dies für Zwecke der Strafrechtspflege erforderlich ist.</w:t>
      </w:r>
    </w:p>
    <w:p>
      <w:r>
        <w:rPr>
          <w:color w:val="555555"/>
          <w:sz w:val="17"/>
        </w:rPr>
        <w:t xml:space="preserve">Zitiervorschlag: § 4c EJG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https://recht.nulegal.eu/gesetze/ejg--2004/4c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