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EJG — Verwaltung von Arbeitsdateien und Index durch das nationale Mitglied</w:t>
      </w:r>
    </w:p>
    <w:p>
      <w:r>
        <w:rPr>
          <w:color w:val="555555"/>
          <w:sz w:val="18"/>
        </w:rPr>
        <w:t xml:space="preserve">Eurojust-Gesetz</w:t>
      </w:r>
    </w:p>
    <w:p>
      <w:r>
        <w:rPr>
          <w:color w:val="555555"/>
          <w:sz w:val="18"/>
        </w:rPr>
        <w:t xml:space="preserve">Historische Fassung: Stand 10.06.2019 bis 17.12.2019. Dies ist nicht die aktuelle Fassung.</w:t>
      </w:r>
    </w:p>
    <w:p>
      <w:r>
        <w:t xml:space="preserve">(1) Das nationale Mitglied legt für jeden Fall, zu dem ihm Informationen nach Artikel 16a Absatz 1 des Eurojust-Beschlusses übermittelt werden, eine elektronisch geführte Datei (Arbeitsdatei) an. Das nationale Mitglied ist für die Verwaltung der Arbeitsdatei zuständig.</w:t>
      </w:r>
    </w:p>
    <w:p>
      <w:r>
        <w:t xml:space="preserve">(2) Das nationale Mitglied nimmt Informationen der Arbeitsdatei in den Index im Sinne von Artikel 16 Absatz 4 des Eurojust-Beschlusses (Index) auf, wenn dies zur Aufgabenerfüllung von Eurojust oder für Zwecke der Strafrechtspflege erforderlich ist; für den Umfang der Daten gilt § 484 Absatz 1 Nummer 1 bis 5 der Strafprozessordnung entsprechend. Informationen, die dem nationalen Mitglied nach § 6 Absatz 1 Satz 2 ohne Ersuchen an Eurojust übermittelt werden, dürfen nur in den Index aufgenommen werden, soweit die übermittelnde Stelle dem zugestimmt hat.</w:t>
      </w:r>
    </w:p>
    <w:p>
      <w:r>
        <w:rPr>
          <w:color w:val="555555"/>
          <w:sz w:val="17"/>
        </w:rPr>
        <w:t xml:space="preserve">Zitiervorschlag: § 4a EJG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https://recht.nulegal.eu/gesetze/ejg--2004/4a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