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EJG — Europäisches Justizielles Netz in Strafsachen</w:t>
      </w:r>
    </w:p>
    <w:p>
      <w:r>
        <w:rPr>
          <w:color w:val="555555"/>
          <w:sz w:val="18"/>
        </w:rPr>
        <w:t xml:space="preserve">Eurojust-Gesetz</w:t>
      </w:r>
    </w:p>
    <w:p>
      <w:r>
        <w:rPr>
          <w:color w:val="555555"/>
          <w:sz w:val="18"/>
        </w:rPr>
        <w:t xml:space="preserve">Historische Fassung: Stand 10.06.2019 bis 17.12.2019. Dies ist nicht die aktuelle Fassung.</w:t>
      </w:r>
    </w:p>
    <w:p>
      <w:r>
        <w:t xml:space="preserve">(1) Der EJN-Beschluss ist anzuwenden.</w:t>
      </w:r>
    </w:p>
    <w:p>
      <w:r>
        <w:t xml:space="preserve">(2) Das Bundesamt für Justiz, der Generalbundesanwalt beim Bundesgerichtshof und die von den Landesregierungen bestimmten weiteren Stellen nehmen die Aufgaben der deutschen Kontaktstellen im Sinne des EJN-Beschlusses wahr. Das Bundesministerium der Justiz und für Verbraucherschutz benennt im Einvernehmen mit den deutschen Kontaktstellen aus deren Kreis die nationale und die technische Anlaufstelle für das Europäische Justizielle Netz im Sinne von Artikel 2 Absatz 3 und 4 des EJN-Beschlusses. Änderungen der Benennung erfolgen im Einvernehmen mit den deutschen Kontaktstellen und sind jederzeit möglich.</w:t>
      </w:r>
    </w:p>
    <w:p>
      <w:r>
        <w:t xml:space="preserve">(3) Die Landesregierungen werden ermächtigt, die Aufgaben der Kontaktstelle einer Landesbehörde zuzuweisen. Sie können die Ermächtigung nach Satz 1 einer obersten Landesbehörde übertragen.</w:t>
      </w:r>
    </w:p>
    <w:p>
      <w:r>
        <w:rPr>
          <w:color w:val="555555"/>
          <w:sz w:val="17"/>
        </w:rPr>
        <w:t xml:space="preserve">Zitiervorschlag: § 14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