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EJG — Anwendung des Eurojust-Beschlusses</w:t>
      </w:r>
    </w:p>
    <w:p>
      <w:r>
        <w:rPr>
          <w:color w:val="555555"/>
          <w:sz w:val="18"/>
        </w:rPr>
        <w:t xml:space="preserve">Eurojust-Gesetz</w:t>
      </w:r>
    </w:p>
    <w:p>
      <w:r>
        <w:rPr>
          <w:color w:val="555555"/>
          <w:sz w:val="18"/>
        </w:rPr>
        <w:t xml:space="preserve">Historische Fassung: Stand 10.06.2019 bis 17.12.2019. Dies ist nicht die aktuelle Fassung.</w:t>
      </w:r>
    </w:p>
    <w:p>
      <w:r>
        <w:t xml:space="preserve">Der Eurojust-Beschluss findet mit dem Inkrafttreten dieses Gesetzes uneingeschränkte Anwendung.</w:t>
      </w:r>
    </w:p>
    <w:p>
      <w:r>
        <w:rPr>
          <w:color w:val="555555"/>
          <w:sz w:val="17"/>
        </w:rPr>
        <w:t xml:space="preserve">Zitiervorschlag: § 13 EJG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https://recht.nulegal.eu/gesetze/ejg--2004/13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