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EJG — Tätigwerden des nationalen Mitglieds nach Artikel 26a Absatz 9 des Eurojust-Beschlusses</w:t>
      </w:r>
    </w:p>
    <w:p>
      <w:r>
        <w:rPr>
          <w:color w:val="555555"/>
          <w:sz w:val="18"/>
        </w:rPr>
        <w:t xml:space="preserve">Eurojust-Gesetz</w:t>
      </w:r>
    </w:p>
    <w:p>
      <w:r>
        <w:rPr>
          <w:color w:val="555555"/>
          <w:sz w:val="18"/>
        </w:rPr>
        <w:t xml:space="preserve">Historische Fassung: Stand 10.06.2019 bis 17.12.2019. Dies ist nicht die aktuelle Fassung.</w:t>
      </w:r>
    </w:p>
    <w:p>
      <w:r>
        <w:t xml:space="preserve">(1) Eine Übermittlung personenbezogener Daten nach Artikel 26a Absatz 9 des Eurojust-Beschlusses ist nur mit vorheriger Zustimmung des Bundesministeriums der Justiz und für Verbraucherschutz oder einer von ihm allgemein oder für den Einzelfall bezeichneten öffentlichen Stelle des Bundes zulässig. Die Zustimmung bedarf des Einvernehmens mit dem Bundesministerium des Innern. Das nationale Mitglied kann von der Einholung einer Zustimmung nach Satz 1 absehen, soweit durch die Einholung die rechtzeitige Durchführung der in Artikel 26a Absatz 9 Satz 1 des Eurojust-Beschlusses bezeichneten Maßnahmen gefährdet würde. In diesem Falle sind die in den Sätzen 1 und 2 bezeichneten Stellen unverzüglich von der Übermittlung nachträglich zu unterrichten.</w:t>
      </w:r>
    </w:p>
    <w:p>
      <w:r>
        <w:t xml:space="preserve">(2) Die Verantwortung nach Artikel 26a Absatz 9 Satz 2 des Eurojust-Beschlusses trägt für das nationale Mitglied die Bundesrepublik Deutschland.</w:t>
      </w:r>
    </w:p>
    <w:p>
      <w:r>
        <w:t xml:space="preserve">(3) Das nationale Mitglied holt vor der Übermittlung die Zustimmung der öffentlichen Stelle ein, die die Daten dem nationalen Mitglied übermittelt hat. Absatz 1 Satz 3 und 4 sowie § 4 Abs. 1 Satz 3 gelten entsprechend.</w:t>
      </w:r>
    </w:p>
    <w:p>
      <w:r>
        <w:t xml:space="preserve">(4) Die Übermittlung personenbezogener Daten unterbleibt, wenn schutzwürdige Interessen des Betroffenen ersichtlich überwiegen.</w:t>
      </w:r>
    </w:p>
    <w:p>
      <w:r>
        <w:t xml:space="preserve">(5) Unbeschadet der Aufzeichnungspflicht nach Artikel 26a Absatz 9 Satz 3 des Eurojust-Beschlusses hat das nationale Mitglied die nach Artikel 26a Absatz 9 Satz 4 des Eurojust-Beschlusses erforderliche Zusage des Empfängers in geeigneter Weise zu dokumentieren.</w:t>
      </w:r>
    </w:p>
    <w:p>
      <w:r>
        <w:rPr>
          <w:color w:val="555555"/>
          <w:sz w:val="17"/>
        </w:rPr>
        <w:t xml:space="preserve">Zitiervorschlag: § 12 EJG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https://recht.nulegal.eu/gesetze/ejg--2004/12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