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EJG — Nationales Mitglied</w:t>
      </w:r>
    </w:p>
    <w:p>
      <w:r>
        <w:rPr>
          <w:color w:val="555555"/>
          <w:sz w:val="18"/>
        </w:rPr>
        <w:t xml:space="preserve">Eurojust-Gesetz</w:t>
      </w:r>
    </w:p>
    <w:p>
      <w:r>
        <w:rPr>
          <w:color w:val="555555"/>
          <w:sz w:val="18"/>
        </w:rPr>
        <w:t xml:space="preserve">Historische Fassung: Stand 10.06.2019 bis 17.12.2019. Dies ist nicht die aktuelle Fassung.</w:t>
      </w:r>
    </w:p>
    <w:p>
      <w:r>
        <w:t xml:space="preserve">(1) Das nach Artikel 2 Abs. 1 des Beschlusses (2002/187/JI) des Rates vom 28. Februar 2002 über die Errichtung von Eurojust zur Verstärkung der Bekämpfung der schweren Kriminalität (ABl. L 63 vom 6.3.2002, S. 1), der durch den Beschluss 2009/426/JI (ABl. L 138 vom 4.6.2009, S. 14) geändert worden ist, (Eurojust-Beschluss) zu entsendende deutsche Mitglied von Eurojust (nationales Mitglied) wird vom Bundesministerium der Justiz und für Verbraucherschutz benannt und abberufen; die Ernennung erfolgt im Benehmen mit den Landesjustizverwaltungen. Die als nationales Mitglied zu benennende Person muss die Befähigung zum Richteramt nach dem Deutschen Richtergesetz besitzen und soll Bundesbediensteter sein.</w:t>
      </w:r>
    </w:p>
    <w:p>
      <w:r>
        <w:t xml:space="preserve">(2) Die Amtszeit des nationalen Mitglieds beträgt mindestens vier Jahre, gerechnet vom Tag der Benennung; bekleidet das nationale Mitglied das Präsidenten- oder Vizepräsidentenamt von Eurojust, muss die Amtszeit mindestens so lange dauern, dass das nationale Mitglied dieses Amt während der gesamten Amtszeit, für die es gewählt wurde, wahrnehmen kann. Eine Abberufung des nationalen Mitglieds vor Ablauf der in Satz 1 genannten Frist gegen seinen Willen ist nur aus wichtigem Grund möglich; der Rat der Europäischen Union ist zuvor von der Abberufung und von den Gründen hierfür zu unterrichten. Eine mehrfache Wiederbenennung ist zulässig. Im Fall der Wiederbenennung kann die Dauer der Amtszeit von Satz 1 abweichen; Satz 1 zweiter Halbsatz bleibt unberührt. Eine vorzeitige Abberufung ist abweichend von Satz 1 möglich, wenn das nationale Mitglied im Namen von Eurojust als Verbindungsrichter oder -richterin oder als Verbindungsstaatsanwalt oder -staatsanwältin an Drittstaaten entsandt wird.</w:t>
      </w:r>
    </w:p>
    <w:p>
      <w:r>
        <w:t xml:space="preserve">(3) Bei der Erfüllung der ihm nach dem Eurojust-Beschluss übertragenen Aufgaben unterliegt das nationale Mitglied den fachlichen Weisungen des Bundesministeriums der Justiz und für Verbraucherschutz.</w:t>
      </w:r>
    </w:p>
    <w:p>
      <w:r>
        <w:t xml:space="preserve">(4) Die oberste Dienstbehörde des nationalen Mitglieds trifft die dienstrechtlichen Maßnahmen, die erforderlich sind, um die Umsetzung von auf Absatz 1 Satz 1 und Absatz 3 beruhenden Entscheidungen des Bundesministeriums der Justiz und für Verbraucherschutz sicherzustellen, soweit nicht eine abweichende Vereinbarung getroffen worden ist.</w:t>
      </w:r>
    </w:p>
    <w:p>
      <w:r>
        <w:rPr>
          <w:color w:val="555555"/>
          <w:sz w:val="17"/>
        </w:rPr>
        <w:t xml:space="preserve">Zitiervorschlag: § 1 EJG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https://recht.nulegal.eu/gesetze/ejg--2004/1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