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EHV 2030/2 — Vermeidung von Doppelerfassungen innerhalb des Brennstoffemissionshandels</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folgenden Absätze gelten ausschließlich, soweit Verantwortliche für die Ermittlung ihrer Emissionen für die Brennstoffe, die durch sie in einem Kalenderjahr im Rahmen einer Tätigkeit nach Teil B Abschnitt 2 des Anhangs zum Treibhausgas-Emissionshandelsgesetz in Verkehr gebracht werden, Methoden nach Artikel 75j Absatz 1 Satz 1 Buchstabe a der Durchführungsverordnung (EU) 2018/2066 anwenden.</w:t>
      </w:r>
    </w:p>
    <w:p>
      <w:r>
        <w:t xml:space="preserve">(2) Verantwortliche können von den Emissionen, über die nach § 5 Absatz 1 Nummer 4 in Verbindung mit § 43 Absatz 1 und 2 des Treibhausgas-Emissionshandelsgesetzes in einem Kalenderjahr zu berichten ist, eine Menge an Brennstoffemissionen abziehen, die der Menge an Brennstoffen entspricht, die durch Verantwortliche ab dem 1. Januar 2025</w:t>
      </w:r>
    </w:p>
    <w:p>
      <w:pPr>
        <w:ind w:left="420"/>
      </w:pPr>
      <w:r>
        <w:t xml:space="preserve">1. entweder aus einem Steuerlager nach § 5 Absatz 2 des Energiesteuergesetzes entfernt wurden, ohne dass sich ein weiteres Steueraussetzungsverfahren anschloss, oder die zum Ge- oder Verbrauch innerhalb des Steuerlagers entnommen wurden und die nachweislich nach § 8 Absatz 7 des Energiesteuergesetzes in dem für den Emissionsbericht maßgeblichen Kalenderjahr entlastet wurden,</w:t>
      </w:r>
    </w:p>
    <w:p>
      <w:pPr>
        <w:ind w:left="420"/>
      </w:pPr>
      <w:r>
        <w:t xml:space="preserve">2. gemäß § 19b Absatz 1 des Energiesteuergesetzes in Verkehr gebracht wurden und die nachweislich nach § 19b Absatz 3 des Energiesteuergesetzes in dem für den Emissionsbericht maßgeblichen Kalenderjahr entlastet wurden,</w:t>
      </w:r>
    </w:p>
    <w:p>
      <w:pPr>
        <w:ind w:left="420"/>
      </w:pPr>
      <w:r>
        <w:t xml:space="preserve">3. aus dem Steuergebiet des Energiesteuergesetzes nach den §§ 15c oder 18 des Energiesteuergesetzes verbracht wurden und die nachweislich nach § 46 Absatz 1 Satz 1 Nummer 1 des Energiesteuergesetzes für dasselbe Kalenderjahr entlastet wurden,</w:t>
      </w:r>
    </w:p>
    <w:p>
      <w:pPr>
        <w:ind w:left="420"/>
      </w:pPr>
      <w:r>
        <w:t xml:space="preserve">4. aus dem Steuergebiet des Energiesteuergesetzes zu gewerblichen Zwecken verbracht oder ausgeführt wurden und die nachweislich nach § 46 Absatz 1 Satz 1 Nummer 2 des Energiesteuergesetzes für dasselbe Kalenderjahr entlastet wurden,</w:t>
      </w:r>
    </w:p>
    <w:p>
      <w:pPr>
        <w:ind w:left="420"/>
      </w:pPr>
      <w:r>
        <w:t xml:space="preserve">5. aus dem Steuergebiet des Energiesteuergesetzes zu gewerblichen Zwecken verbracht oder ausgeführt wurden und die nachweislich nach § 46 Absatz 1 Satz 1 Nummer 3 des Energiesteuergesetzes für dasselbe Kalenderjahr entlastet wurden,</w:t>
      </w:r>
    </w:p>
    <w:p>
      <w:pPr>
        <w:ind w:left="420"/>
      </w:pPr>
      <w:r>
        <w:t xml:space="preserve">6. gemäß § 18a Absatz 1 des Energiesteuergesetzes in Verkehr gebracht wurden und die nachweislich nach § 46 Absatz 2b des Energiesteuergesetzes in dem für den Emissionsbericht maßgeblichen Kalenderjahr entlastet wurden,</w:t>
      </w:r>
    </w:p>
    <w:p>
      <w:pPr>
        <w:ind w:left="420"/>
      </w:pPr>
      <w:r>
        <w:t xml:space="preserve">7. in ein Steuerlager nach § 5 Absatz 2 des Energiesteuergesetzes aufgenommen wurden und die nachweislich nach § 47 Absatz 1 Nummer 1 des Energiesteuergesetzes für dasselbe Kalenderjahr entlastet wurden,</w:t>
      </w:r>
    </w:p>
    <w:p>
      <w:pPr>
        <w:ind w:left="420"/>
      </w:pPr>
      <w:r>
        <w:t xml:space="preserve">8. bei der Lagerung oder Verladung von Energieerzeugnissen, beim Betanken von Kraftfahrzeugen oder bei der Entgasung von Transportmitteln aus nachweislich versteuerten, nicht gebrauchten Energieerzeugnissen und anderen Stoffen aufgefangen wurden und die nachweislich nach § 47 Absatz 1 Nummer 2 des Energiesteuergesetzes für dasselbe Kalenderjahr entlastet wurden,</w:t>
      </w:r>
    </w:p>
    <w:p>
      <w:pPr>
        <w:ind w:left="420"/>
      </w:pPr>
      <w:r>
        <w:t xml:space="preserve">9. in ein Leitungsnetz für unversteuertes Erdgas eingespeist wurden und die nachweislich nach § 47 Absatz 1 Nummer 6 des Energiesteuergesetzes für dasselbe Kalenderjahr entlastet wurden,</w:t>
      </w:r>
    </w:p>
    <w:p>
      <w:pPr>
        <w:ind w:left="420"/>
      </w:pPr>
      <w:r>
        <w:t xml:space="preserve">10. an ausländische Streitkräfte oder Hauptquartiere geliefert wurden und die nachweislich nach § 58 Absatz 1 des Energiesteuergesetzes für dasselbe Kalenderjahr entlastet wurden oder</w:t>
      </w:r>
    </w:p>
    <w:p>
      <w:pPr>
        <w:ind w:left="420"/>
      </w:pPr>
      <w:r>
        <w:t xml:space="preserve">11. an ausländische Streitkräfte eines anderen Mitgliedstaates der Europäischen Union geliefert wurden und die nachweislich nach § 58a Absatz 1 des Energiesteuergesetzes für dasselbe Kalenderjahr entlastet wurden.</w:t>
      </w:r>
    </w:p>
    <w:p>
      <w:r>
        <w:t xml:space="preserve">(3) Für den Abzug von Brennstoffemissionen nach Absatz 2 übermittelt der Verantwortliche der zuständigen Behörde mit dem Emissionsbericht den Mengen an Brennstoffen entsprechende Energiesteueranmeldungen, Entlastungsanträge und, sofern vorliegend, Bescheide des Hauptzollamtes als Nachweise.</w:t>
      </w:r>
    </w:p>
    <w:p>
      <w:r>
        <w:t xml:space="preserve">(4) Verantwortliche können eine entsprechende Menge an Emissionen von den nach § 5 Absatz 1 Nummer 4 in Verbindung mit § 43 Absatz 1 und 2 des Treibhausgasemissionshandelsgesetzes in einem Kalenderjahr zu berichtenden Emissionen für Mengen an Erdgas abziehen, die für die in § 25 des Energiesteuergesetzes genannten Zwecke verwendet und nachweislich nach § 47 Absatz 1 Nummer 3 des Energiesteuergesetzes für dasselbe Kalenderjahr entlastet wurden. Die Entlastung gemäß Satz 1 darf durch den entlastenden Dritten nicht selbst im Rahmen der Berichterstattung geltend gemacht oder einem anderen Verantwortlichen zur Geltendmachung zur Verfügung gestellt worden sein. Der Abzug nach Satz 1 ist ausgeschlossen für Mengen an leitungsgebundenem Erdgas, die in einer Anlage im Rahmen einer Tätigkeit nach Teil A Abschnitt 2 des Anhangs zum Treibhausgas-Emissionshandelsgesetz verwendet worden sind und für die der Anteilsfaktor von Null nach Artikel 75l Absatz 1 Satz 2 der Durchführungsverordnung (EU) 2018/2066 anzusetzen ist.</w:t>
      </w:r>
    </w:p>
    <w:p>
      <w:r>
        <w:t xml:space="preserve">(5) Verantwortliche können eine entsprechende Menge an Brennstoffemissionen von den nach § 5 Absatz 1 Nummer 4 in Verbindung mit § 43 Absatz 1 und 2 des Treibhausgas-Emissionshandelsgesetzes in einem Kalenderjahr zu berichtenden Emissionen für Mengen an Brennstoffen abziehen, die durch einen Verantwortlichen nach dem 1. Januar 2025 gemäß § 38 Absatz 1 in Verbindung mit Absatz 5 des Energiesteuergesetzes in Verkehr gebracht und durch den Verantwortlichen oder einen Dritten nachweislich nach § 38 Absatz 5 Satz 3 des Energiesteuergesetzes für dasselbe Kalenderjahr entlastet wurden. Im Fall der Entlastung durch einen Dritten haben Verantwortliche gegenüber der zuständigen Behörde nachzuweisen, dass eine direkte Lieferbeziehung über die entsprechende Menge im Kalenderjahr bestand, und eine Eigenerklärung des Dritten vorzulegen, in der dieser erklärt, dass die entsprechende Entlastung durch den Dritten nicht selbst im Rahmen der Berichterstattung geltend gemacht oder einem anderen Verantwortlichen zur Geltendmachung zur Verfügung gestellt wurde.</w:t>
      </w:r>
    </w:p>
    <w:p>
      <w:r>
        <w:rPr>
          <w:color w:val="555555"/>
          <w:sz w:val="17"/>
        </w:rPr>
        <w:t xml:space="preserve">Zitiervorschlag: § 29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